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简体"/>
          <w:sz w:val="44"/>
          <w:szCs w:val="44"/>
        </w:rPr>
      </w:pPr>
      <w:r>
        <w:rPr>
          <w:rFonts w:hint="eastAsia" w:eastAsia="方正小标宋简体"/>
          <w:sz w:val="44"/>
          <w:szCs w:val="44"/>
        </w:rPr>
        <w:t>甘肃省</w:t>
      </w:r>
      <w:r>
        <w:rPr>
          <w:rFonts w:eastAsia="方正小标宋简体"/>
          <w:sz w:val="44"/>
          <w:szCs w:val="44"/>
        </w:rPr>
        <w:t>大学生创新创业训练计划</w:t>
      </w:r>
    </w:p>
    <w:p>
      <w:pPr>
        <w:adjustRightInd w:val="0"/>
        <w:snapToGrid w:val="0"/>
        <w:jc w:val="center"/>
        <w:rPr>
          <w:rFonts w:eastAsia="方正小标宋简体"/>
          <w:sz w:val="44"/>
          <w:szCs w:val="44"/>
        </w:rPr>
      </w:pPr>
      <w:r>
        <w:rPr>
          <w:rFonts w:eastAsia="方正小标宋简体"/>
          <w:sz w:val="44"/>
          <w:szCs w:val="44"/>
        </w:rPr>
        <w:t>项目申报表</w:t>
      </w:r>
    </w:p>
    <w:p>
      <w:pPr>
        <w:adjustRightInd w:val="0"/>
        <w:snapToGrid w:val="0"/>
        <w:jc w:val="center"/>
        <w:rPr>
          <w:rFonts w:eastAsia="楷体"/>
          <w:sz w:val="44"/>
          <w:szCs w:val="44"/>
        </w:rPr>
      </w:pPr>
      <w:r>
        <w:rPr>
          <w:rFonts w:eastAsia="楷体"/>
          <w:sz w:val="44"/>
          <w:szCs w:val="44"/>
        </w:rPr>
        <w:t>（创业训练和创业实践项目）</w:t>
      </w:r>
    </w:p>
    <w:p>
      <w:pPr>
        <w:ind w:firstLine="263" w:firstLineChars="82"/>
        <w:rPr>
          <w:rFonts w:eastAsia="黑体"/>
          <w:b/>
          <w:bCs/>
          <w:sz w:val="32"/>
        </w:rPr>
      </w:pPr>
    </w:p>
    <w:p>
      <w:pPr>
        <w:ind w:firstLine="263" w:firstLineChars="82"/>
        <w:rPr>
          <w:rFonts w:eastAsia="黑体"/>
          <w:b/>
          <w:bCs/>
          <w:sz w:val="32"/>
        </w:rPr>
      </w:pPr>
    </w:p>
    <w:tbl>
      <w:tblPr>
        <w:tblStyle w:val="4"/>
        <w:tblW w:w="0" w:type="auto"/>
        <w:jc w:val="center"/>
        <w:tblLayout w:type="fixed"/>
        <w:tblCellMar>
          <w:top w:w="0" w:type="dxa"/>
          <w:left w:w="108" w:type="dxa"/>
          <w:bottom w:w="0" w:type="dxa"/>
          <w:right w:w="108" w:type="dxa"/>
        </w:tblCellMar>
      </w:tblPr>
      <w:tblGrid>
        <w:gridCol w:w="2681"/>
        <w:gridCol w:w="3889"/>
      </w:tblGrid>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bCs/>
                <w:sz w:val="32"/>
                <w:szCs w:val="32"/>
              </w:rPr>
            </w:pPr>
            <w:r>
              <w:rPr>
                <w:rFonts w:eastAsia="仿宋_GB2312"/>
                <w:sz w:val="28"/>
              </w:rPr>
              <w:t>推荐学校：</w:t>
            </w:r>
          </w:p>
        </w:tc>
        <w:tc>
          <w:tcPr>
            <w:tcW w:w="3889" w:type="dxa"/>
            <w:tcBorders>
              <w:top w:val="nil"/>
              <w:left w:val="nil"/>
              <w:bottom w:val="single" w:color="auto" w:sz="4" w:space="0"/>
              <w:right w:val="nil"/>
            </w:tcBorders>
            <w:noWrap w:val="0"/>
            <w:vAlign w:val="top"/>
          </w:tcPr>
          <w:p>
            <w:pPr>
              <w:spacing w:line="336" w:lineRule="auto"/>
              <w:jc w:val="center"/>
              <w:rPr>
                <w:rFonts w:eastAsia="仿宋_GB2312"/>
                <w:bCs/>
                <w:sz w:val="32"/>
                <w:szCs w:val="32"/>
              </w:rPr>
            </w:pPr>
            <w:r>
              <w:rPr>
                <w:rFonts w:eastAsia="仿宋_GB2312"/>
                <w:bCs/>
                <w:sz w:val="32"/>
                <w:szCs w:val="32"/>
              </w:rPr>
              <w:t>（盖章）</w:t>
            </w: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bCs/>
                <w:sz w:val="32"/>
                <w:szCs w:val="32"/>
              </w:rPr>
            </w:pPr>
            <w:r>
              <w:rPr>
                <w:rFonts w:eastAsia="仿宋_GB2312"/>
                <w:sz w:val="28"/>
              </w:rPr>
              <w:t>项目名称：</w:t>
            </w:r>
          </w:p>
        </w:tc>
        <w:tc>
          <w:tcPr>
            <w:tcW w:w="3889" w:type="dxa"/>
            <w:tcBorders>
              <w:top w:val="single" w:color="auto" w:sz="4" w:space="0"/>
              <w:left w:val="nil"/>
              <w:bottom w:val="single" w:color="auto" w:sz="4" w:space="0"/>
              <w:right w:val="nil"/>
            </w:tcBorders>
            <w:noWrap w:val="0"/>
            <w:vAlign w:val="top"/>
          </w:tcPr>
          <w:p>
            <w:pPr>
              <w:spacing w:line="336" w:lineRule="auto"/>
              <w:rPr>
                <w:rFonts w:eastAsia="仿宋_GB2312"/>
                <w:bCs/>
                <w:sz w:val="32"/>
                <w:szCs w:val="32"/>
              </w:rPr>
            </w:pPr>
          </w:p>
        </w:tc>
      </w:tr>
      <w:tr>
        <w:tblPrEx>
          <w:tblCellMar>
            <w:top w:w="0" w:type="dxa"/>
            <w:left w:w="108" w:type="dxa"/>
            <w:bottom w:w="0" w:type="dxa"/>
            <w:right w:w="108" w:type="dxa"/>
          </w:tblCellMar>
        </w:tblPrEx>
        <w:trPr>
          <w:trHeight w:val="786" w:hRule="atLeast"/>
          <w:jc w:val="center"/>
        </w:trPr>
        <w:tc>
          <w:tcPr>
            <w:tcW w:w="2681" w:type="dxa"/>
            <w:noWrap w:val="0"/>
            <w:vAlign w:val="center"/>
          </w:tcPr>
          <w:p>
            <w:pPr>
              <w:jc w:val="distribute"/>
              <w:rPr>
                <w:rFonts w:eastAsia="仿宋_GB2312"/>
                <w:bCs/>
                <w:color w:val="FF0000"/>
                <w:sz w:val="32"/>
                <w:szCs w:val="32"/>
              </w:rPr>
            </w:pPr>
            <w:r>
              <w:rPr>
                <w:rFonts w:eastAsia="仿宋_GB2312"/>
                <w:sz w:val="28"/>
              </w:rPr>
              <w:t>项目类型：</w:t>
            </w:r>
          </w:p>
        </w:tc>
        <w:tc>
          <w:tcPr>
            <w:tcW w:w="3889" w:type="dxa"/>
            <w:tcBorders>
              <w:top w:val="single" w:color="auto" w:sz="4" w:space="0"/>
              <w:left w:val="nil"/>
              <w:bottom w:val="single" w:color="auto" w:sz="4" w:space="0"/>
              <w:right w:val="nil"/>
            </w:tcBorders>
            <w:noWrap w:val="0"/>
            <w:vAlign w:val="top"/>
          </w:tcPr>
          <w:p>
            <w:pPr>
              <w:ind w:firstLine="720" w:firstLineChars="300"/>
              <w:rPr>
                <w:rFonts w:eastAsia="仿宋_GB2312"/>
                <w:color w:val="000000"/>
                <w:sz w:val="24"/>
                <w:u w:val="single"/>
              </w:rPr>
            </w:pPr>
            <w:r>
              <w:rPr>
                <w:rFonts w:eastAsia="仿宋_GB2312"/>
                <w:color w:val="000000"/>
                <w:sz w:val="24"/>
                <w:u w:val="single"/>
              </w:rPr>
              <w:t>□创业训练项目</w:t>
            </w:r>
          </w:p>
          <w:p>
            <w:pPr>
              <w:ind w:firstLine="720" w:firstLineChars="300"/>
              <w:rPr>
                <w:rFonts w:eastAsia="仿宋_GB2312"/>
                <w:bCs/>
                <w:color w:val="FF0000"/>
                <w:sz w:val="32"/>
                <w:szCs w:val="32"/>
              </w:rPr>
            </w:pPr>
            <w:r>
              <w:rPr>
                <w:rFonts w:eastAsia="仿宋_GB2312"/>
                <w:color w:val="000000"/>
                <w:sz w:val="24"/>
                <w:u w:val="single"/>
              </w:rPr>
              <w:sym w:font="Wingdings" w:char="F0FE"/>
            </w:r>
            <w:r>
              <w:rPr>
                <w:rFonts w:eastAsia="仿宋_GB2312"/>
                <w:color w:val="000000"/>
                <w:sz w:val="24"/>
                <w:u w:val="single"/>
              </w:rPr>
              <w:t>创业实践项目</w:t>
            </w: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bCs/>
                <w:color w:val="FF0000"/>
                <w:sz w:val="32"/>
                <w:szCs w:val="32"/>
              </w:rPr>
            </w:pPr>
            <w:r>
              <w:rPr>
                <w:rFonts w:eastAsia="仿宋_GB2312"/>
                <w:sz w:val="28"/>
              </w:rPr>
              <w:t>团队名称：</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color w:val="FF0000"/>
                <w:sz w:val="32"/>
                <w:szCs w:val="32"/>
              </w:rPr>
            </w:pP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bCs/>
                <w:sz w:val="32"/>
                <w:szCs w:val="32"/>
              </w:rPr>
            </w:pPr>
            <w:r>
              <w:rPr>
                <w:rFonts w:eastAsia="仿宋_GB2312"/>
                <w:sz w:val="28"/>
              </w:rPr>
              <w:t>项目负责人：</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color w:val="FF0000"/>
                <w:sz w:val="28"/>
              </w:rPr>
            </w:pPr>
            <w:r>
              <w:rPr>
                <w:rFonts w:eastAsia="仿宋_GB2312"/>
                <w:sz w:val="28"/>
              </w:rPr>
              <w:t>项目所属一级学科：</w:t>
            </w:r>
          </w:p>
        </w:tc>
        <w:tc>
          <w:tcPr>
            <w:tcW w:w="3889" w:type="dxa"/>
            <w:tcBorders>
              <w:top w:val="single" w:color="auto" w:sz="4" w:space="0"/>
              <w:left w:val="nil"/>
              <w:bottom w:val="single" w:color="auto" w:sz="4" w:space="0"/>
              <w:right w:val="nil"/>
            </w:tcBorders>
            <w:noWrap w:val="0"/>
            <w:vAlign w:val="top"/>
          </w:tcPr>
          <w:p>
            <w:pPr>
              <w:spacing w:line="336" w:lineRule="auto"/>
              <w:ind w:firstLine="1280" w:firstLineChars="400"/>
              <w:rPr>
                <w:rFonts w:eastAsia="仿宋_GB2312"/>
                <w:bCs/>
                <w:sz w:val="32"/>
                <w:szCs w:val="32"/>
              </w:rPr>
            </w:pPr>
            <w:r>
              <w:rPr>
                <w:rFonts w:eastAsia="仿宋_GB2312"/>
                <w:bCs/>
                <w:sz w:val="32"/>
                <w:szCs w:val="32"/>
              </w:rPr>
              <w:t>计算机</w:t>
            </w: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sz w:val="28"/>
              </w:rPr>
            </w:pPr>
            <w:r>
              <w:rPr>
                <w:rFonts w:eastAsia="仿宋_GB2312"/>
                <w:sz w:val="28"/>
              </w:rPr>
              <w:t>联系电话：</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sz w:val="28"/>
              </w:rPr>
            </w:pPr>
            <w:r>
              <w:rPr>
                <w:rFonts w:eastAsia="仿宋_GB2312"/>
                <w:sz w:val="28"/>
              </w:rPr>
              <w:t>指导教师：</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sz w:val="28"/>
              </w:rPr>
            </w:pPr>
            <w:r>
              <w:rPr>
                <w:rFonts w:eastAsia="仿宋_GB2312"/>
                <w:sz w:val="28"/>
              </w:rPr>
              <w:t>联系电话：</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sz w:val="32"/>
                <w:szCs w:val="32"/>
              </w:rPr>
            </w:pPr>
          </w:p>
        </w:tc>
      </w:tr>
      <w:tr>
        <w:tblPrEx>
          <w:tblCellMar>
            <w:top w:w="0" w:type="dxa"/>
            <w:left w:w="108" w:type="dxa"/>
            <w:bottom w:w="0" w:type="dxa"/>
            <w:right w:w="108" w:type="dxa"/>
          </w:tblCellMar>
        </w:tblPrEx>
        <w:trPr>
          <w:trHeight w:val="567" w:hRule="atLeast"/>
          <w:jc w:val="center"/>
        </w:trPr>
        <w:tc>
          <w:tcPr>
            <w:tcW w:w="2681" w:type="dxa"/>
            <w:noWrap w:val="0"/>
            <w:vAlign w:val="bottom"/>
          </w:tcPr>
          <w:p>
            <w:pPr>
              <w:jc w:val="distribute"/>
              <w:rPr>
                <w:rFonts w:eastAsia="仿宋_GB2312"/>
                <w:sz w:val="28"/>
              </w:rPr>
            </w:pPr>
            <w:r>
              <w:rPr>
                <w:rFonts w:eastAsia="仿宋_GB2312"/>
                <w:sz w:val="28"/>
              </w:rPr>
              <w:t>申报日期：</w:t>
            </w:r>
          </w:p>
        </w:tc>
        <w:tc>
          <w:tcPr>
            <w:tcW w:w="3889" w:type="dxa"/>
            <w:tcBorders>
              <w:top w:val="single" w:color="auto" w:sz="4" w:space="0"/>
              <w:left w:val="nil"/>
              <w:bottom w:val="single" w:color="auto" w:sz="4" w:space="0"/>
              <w:right w:val="nil"/>
            </w:tcBorders>
            <w:noWrap w:val="0"/>
            <w:vAlign w:val="top"/>
          </w:tcPr>
          <w:p>
            <w:pPr>
              <w:spacing w:line="336" w:lineRule="auto"/>
              <w:jc w:val="center"/>
              <w:rPr>
                <w:rFonts w:eastAsia="仿宋_GB2312"/>
                <w:bCs/>
                <w:sz w:val="32"/>
                <w:szCs w:val="32"/>
              </w:rPr>
            </w:pPr>
          </w:p>
        </w:tc>
      </w:tr>
    </w:tbl>
    <w:p>
      <w:pPr>
        <w:snapToGrid w:val="0"/>
        <w:spacing w:line="300" w:lineRule="auto"/>
        <w:jc w:val="center"/>
        <w:rPr>
          <w:bCs/>
          <w:sz w:val="32"/>
          <w:szCs w:val="32"/>
        </w:rPr>
      </w:pPr>
    </w:p>
    <w:p>
      <w:pPr>
        <w:snapToGrid w:val="0"/>
        <w:spacing w:line="300" w:lineRule="auto"/>
        <w:jc w:val="center"/>
        <w:rPr>
          <w:rFonts w:hint="eastAsia"/>
          <w:bCs/>
          <w:sz w:val="32"/>
          <w:szCs w:val="32"/>
        </w:rPr>
      </w:pPr>
    </w:p>
    <w:p>
      <w:pPr>
        <w:snapToGrid w:val="0"/>
        <w:spacing w:line="300" w:lineRule="auto"/>
        <w:jc w:val="center"/>
        <w:rPr>
          <w:bCs/>
          <w:sz w:val="32"/>
          <w:szCs w:val="32"/>
        </w:rPr>
      </w:pPr>
    </w:p>
    <w:p>
      <w:pPr>
        <w:snapToGrid w:val="0"/>
        <w:spacing w:line="300" w:lineRule="auto"/>
        <w:jc w:val="center"/>
        <w:rPr>
          <w:bCs/>
          <w:sz w:val="32"/>
          <w:szCs w:val="32"/>
        </w:rPr>
      </w:pPr>
    </w:p>
    <w:p>
      <w:pPr>
        <w:snapToGrid w:val="0"/>
        <w:spacing w:line="300" w:lineRule="auto"/>
        <w:jc w:val="center"/>
        <w:rPr>
          <w:bCs/>
          <w:sz w:val="32"/>
          <w:szCs w:val="32"/>
        </w:rPr>
      </w:pPr>
    </w:p>
    <w:p>
      <w:pPr>
        <w:snapToGrid w:val="0"/>
        <w:spacing w:line="300" w:lineRule="auto"/>
        <w:jc w:val="center"/>
        <w:rPr>
          <w:bCs/>
          <w:sz w:val="32"/>
          <w:szCs w:val="32"/>
        </w:rPr>
      </w:pPr>
    </w:p>
    <w:p>
      <w:pPr>
        <w:snapToGrid w:val="0"/>
        <w:jc w:val="center"/>
        <w:rPr>
          <w:rFonts w:eastAsia="黑体"/>
          <w:spacing w:val="20"/>
          <w:sz w:val="32"/>
          <w:szCs w:val="32"/>
        </w:rPr>
      </w:pPr>
      <w:r>
        <w:rPr>
          <w:rFonts w:hint="eastAsia" w:eastAsia="黑体"/>
          <w:spacing w:val="20"/>
          <w:sz w:val="32"/>
          <w:szCs w:val="32"/>
        </w:rPr>
        <w:t>甘肃</w:t>
      </w:r>
      <w:r>
        <w:rPr>
          <w:rFonts w:eastAsia="黑体"/>
          <w:spacing w:val="20"/>
          <w:sz w:val="32"/>
          <w:szCs w:val="32"/>
        </w:rPr>
        <w:t>省教育厅 制</w:t>
      </w:r>
    </w:p>
    <w:p>
      <w:pPr>
        <w:widowControl/>
        <w:rPr>
          <w:rFonts w:eastAsia="黑体"/>
          <w:spacing w:val="32"/>
          <w:sz w:val="36"/>
        </w:rPr>
      </w:pPr>
    </w:p>
    <w:p>
      <w:pPr>
        <w:widowControl/>
        <w:jc w:val="center"/>
        <w:rPr>
          <w:rFonts w:eastAsia="黑体"/>
          <w:spacing w:val="32"/>
          <w:sz w:val="36"/>
        </w:rPr>
      </w:pPr>
    </w:p>
    <w:p>
      <w:pPr>
        <w:widowControl/>
        <w:jc w:val="center"/>
        <w:rPr>
          <w:rFonts w:eastAsia="黑体"/>
          <w:spacing w:val="32"/>
          <w:sz w:val="36"/>
        </w:rPr>
      </w:pPr>
    </w:p>
    <w:p>
      <w:pPr>
        <w:widowControl/>
        <w:jc w:val="center"/>
        <w:rPr>
          <w:rFonts w:eastAsia="黑体"/>
          <w:spacing w:val="32"/>
          <w:sz w:val="36"/>
        </w:rPr>
      </w:pPr>
      <w:r>
        <w:rPr>
          <w:rFonts w:eastAsia="黑体"/>
          <w:spacing w:val="32"/>
          <w:sz w:val="36"/>
        </w:rPr>
        <w:t>填写说明</w:t>
      </w:r>
    </w:p>
    <w:p>
      <w:pPr>
        <w:spacing w:line="500" w:lineRule="exact"/>
        <w:jc w:val="center"/>
        <w:rPr>
          <w:rFonts w:eastAsia="黑体"/>
          <w:sz w:val="36"/>
        </w:rPr>
      </w:pPr>
    </w:p>
    <w:p>
      <w:pPr>
        <w:spacing w:line="600" w:lineRule="exact"/>
        <w:ind w:firstLine="480" w:firstLineChars="200"/>
        <w:rPr>
          <w:sz w:val="24"/>
        </w:rPr>
      </w:pPr>
      <w:r>
        <w:rPr>
          <w:sz w:val="24"/>
        </w:rPr>
        <w:t>一、申报书要按照要求，逐项认真填写，填写内容必须实事求是，表达明确严谨。空缺项要填“无”。</w:t>
      </w:r>
    </w:p>
    <w:p>
      <w:pPr>
        <w:spacing w:line="600" w:lineRule="exact"/>
        <w:ind w:firstLine="480" w:firstLineChars="200"/>
        <w:rPr>
          <w:sz w:val="24"/>
        </w:rPr>
      </w:pPr>
      <w:r>
        <w:rPr>
          <w:sz w:val="24"/>
        </w:rPr>
        <w:t>二、格式要求：表格中的字体采用小四号宋体，单倍行距；需签字部分由相关人员以黑色钢笔或签字笔签名。</w:t>
      </w:r>
    </w:p>
    <w:p>
      <w:pPr>
        <w:spacing w:line="600" w:lineRule="exact"/>
        <w:ind w:left="107" w:leftChars="51" w:right="226" w:firstLine="360" w:firstLineChars="150"/>
        <w:rPr>
          <w:sz w:val="24"/>
        </w:rPr>
      </w:pPr>
      <w:r>
        <w:rPr>
          <w:rFonts w:hint="eastAsia"/>
          <w:sz w:val="24"/>
        </w:rPr>
        <w:t>三</w:t>
      </w:r>
      <w:r>
        <w:rPr>
          <w:sz w:val="24"/>
        </w:rPr>
        <w:t>、填报者须注意页面的排版。</w:t>
      </w:r>
    </w:p>
    <w:p>
      <w:pPr>
        <w:spacing w:line="400" w:lineRule="atLeast"/>
        <w:ind w:left="107" w:leftChars="51" w:right="226" w:firstLine="360" w:firstLineChars="150"/>
        <w:rPr>
          <w:sz w:val="24"/>
        </w:rPr>
      </w:pPr>
      <w:r>
        <w:rPr>
          <w:sz w:val="24"/>
        </w:rPr>
        <w:t xml:space="preserve">               </w:t>
      </w:r>
    </w:p>
    <w:p/>
    <w:p/>
    <w:p/>
    <w:p/>
    <w:p/>
    <w:p/>
    <w:p/>
    <w:p/>
    <w:p/>
    <w:p/>
    <w:p/>
    <w:p/>
    <w:p>
      <w:pPr>
        <w:rPr>
          <w:rFonts w:hint="eastAsia"/>
        </w:rPr>
      </w:pPr>
    </w:p>
    <w:p>
      <w:pPr>
        <w:rPr>
          <w:rFonts w:hint="eastAsia"/>
        </w:rPr>
      </w:pPr>
    </w:p>
    <w:p/>
    <w:p/>
    <w:p/>
    <w:p/>
    <w:p/>
    <w:p>
      <w:pPr>
        <w:rPr>
          <w:rFonts w:hint="eastAsia"/>
        </w:rPr>
      </w:pPr>
    </w:p>
    <w:p/>
    <w:p>
      <w:pPr>
        <w:rPr>
          <w:rFonts w:hint="eastAsia"/>
        </w:rPr>
      </w:pPr>
    </w:p>
    <w:p/>
    <w:p/>
    <w:p/>
    <w:tbl>
      <w:tblPr>
        <w:tblStyle w:val="4"/>
        <w:tblW w:w="95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4"/>
        <w:gridCol w:w="554"/>
        <w:gridCol w:w="944"/>
        <w:gridCol w:w="426"/>
        <w:gridCol w:w="246"/>
        <w:gridCol w:w="33"/>
        <w:gridCol w:w="507"/>
        <w:gridCol w:w="720"/>
        <w:gridCol w:w="251"/>
        <w:gridCol w:w="109"/>
        <w:gridCol w:w="540"/>
        <w:gridCol w:w="1013"/>
        <w:gridCol w:w="67"/>
        <w:gridCol w:w="180"/>
        <w:gridCol w:w="646"/>
        <w:gridCol w:w="540"/>
        <w:gridCol w:w="142"/>
        <w:gridCol w:w="1823"/>
        <w:gridCol w:w="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jc w:val="center"/>
        </w:trPr>
        <w:tc>
          <w:tcPr>
            <w:tcW w:w="2292"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b/>
                <w:kern w:val="0"/>
                <w:sz w:val="24"/>
              </w:rPr>
            </w:pPr>
            <w:r>
              <w:rPr>
                <w:b/>
                <w:kern w:val="0"/>
                <w:sz w:val="24"/>
              </w:rPr>
              <w:t>项目名称</w:t>
            </w:r>
          </w:p>
        </w:tc>
        <w:tc>
          <w:tcPr>
            <w:tcW w:w="7261" w:type="dxa"/>
            <w:gridSpan w:val="16"/>
            <w:tcBorders>
              <w:top w:val="single" w:color="000000" w:sz="2" w:space="0"/>
              <w:left w:val="single" w:color="000000" w:sz="2" w:space="0"/>
              <w:bottom w:val="single" w:color="auto" w:sz="4" w:space="0"/>
              <w:right w:val="single" w:color="000000" w:sz="2" w:space="0"/>
            </w:tcBorders>
            <w:noWrap w:val="0"/>
            <w:vAlign w:val="center"/>
          </w:tcPr>
          <w:p>
            <w:pPr>
              <w:widowControl/>
              <w:jc w:val="center"/>
              <w:rPr>
                <w:kern w:val="0"/>
                <w:sz w:val="24"/>
              </w:rPr>
            </w:pPr>
            <w:r>
              <w:rPr>
                <w:rFonts w:hint="eastAsia"/>
                <w:kern w:val="0"/>
                <w:sz w:val="24"/>
              </w:rPr>
              <w:t>炫凯数字媒体创新工作室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jc w:val="center"/>
        </w:trPr>
        <w:tc>
          <w:tcPr>
            <w:tcW w:w="2292"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rPr>
                <w:b/>
                <w:kern w:val="0"/>
                <w:sz w:val="24"/>
              </w:rPr>
            </w:pPr>
            <w:r>
              <w:rPr>
                <w:b/>
                <w:kern w:val="0"/>
                <w:sz w:val="24"/>
              </w:rPr>
              <w:t>校拨经费（万元）</w:t>
            </w:r>
          </w:p>
        </w:tc>
        <w:tc>
          <w:tcPr>
            <w:tcW w:w="2292" w:type="dxa"/>
            <w:gridSpan w:val="7"/>
            <w:tcBorders>
              <w:top w:val="single" w:color="000000" w:sz="2" w:space="0"/>
              <w:left w:val="single" w:color="000000" w:sz="2" w:space="0"/>
              <w:bottom w:val="single" w:color="auto" w:sz="4" w:space="0"/>
              <w:right w:val="single" w:color="auto" w:sz="4" w:space="0"/>
            </w:tcBorders>
            <w:noWrap w:val="0"/>
            <w:vAlign w:val="center"/>
          </w:tcPr>
          <w:p>
            <w:pPr>
              <w:widowControl/>
              <w:jc w:val="center"/>
              <w:rPr>
                <w:kern w:val="0"/>
                <w:sz w:val="24"/>
              </w:rPr>
            </w:pPr>
            <w:r>
              <w:rPr>
                <w:rFonts w:hint="eastAsia"/>
                <w:kern w:val="0"/>
                <w:sz w:val="24"/>
              </w:rPr>
              <w:t>1</w:t>
            </w:r>
          </w:p>
        </w:tc>
        <w:tc>
          <w:tcPr>
            <w:tcW w:w="1800" w:type="dxa"/>
            <w:gridSpan w:val="4"/>
            <w:tcBorders>
              <w:top w:val="single" w:color="000000" w:sz="2" w:space="0"/>
              <w:left w:val="single" w:color="auto" w:sz="4" w:space="0"/>
              <w:bottom w:val="single" w:color="auto" w:sz="4" w:space="0"/>
              <w:right w:val="single" w:color="000000" w:sz="2" w:space="0"/>
            </w:tcBorders>
            <w:noWrap w:val="0"/>
            <w:vAlign w:val="center"/>
          </w:tcPr>
          <w:p>
            <w:pPr>
              <w:widowControl/>
              <w:jc w:val="center"/>
              <w:rPr>
                <w:b/>
                <w:kern w:val="0"/>
                <w:sz w:val="24"/>
              </w:rPr>
            </w:pPr>
            <w:r>
              <w:rPr>
                <w:b/>
                <w:kern w:val="0"/>
                <w:sz w:val="24"/>
              </w:rPr>
              <w:t>参与学生人数</w:t>
            </w:r>
          </w:p>
        </w:tc>
        <w:tc>
          <w:tcPr>
            <w:tcW w:w="3169" w:type="dxa"/>
            <w:gridSpan w:val="5"/>
            <w:tcBorders>
              <w:top w:val="single" w:color="000000" w:sz="2" w:space="0"/>
              <w:left w:val="single" w:color="auto" w:sz="4" w:space="0"/>
              <w:bottom w:val="single" w:color="auto" w:sz="4" w:space="0"/>
              <w:right w:val="single" w:color="000000" w:sz="2" w:space="0"/>
            </w:tcBorders>
            <w:noWrap w:val="0"/>
            <w:vAlign w:val="center"/>
          </w:tcPr>
          <w:p>
            <w:pPr>
              <w:widowControl/>
              <w:jc w:val="center"/>
              <w:rPr>
                <w:kern w:val="0"/>
                <w:sz w:val="24"/>
              </w:rPr>
            </w:pPr>
            <w:r>
              <w:rPr>
                <w:rFonts w:hint="eastAsia"/>
                <w:kern w:val="0"/>
                <w:sz w:val="24"/>
              </w:rPr>
              <w:t>5人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9" w:hRule="atLeast"/>
          <w:jc w:val="center"/>
        </w:trPr>
        <w:tc>
          <w:tcPr>
            <w:tcW w:w="2292"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b/>
                <w:sz w:val="24"/>
              </w:rPr>
            </w:pPr>
            <w:r>
              <w:rPr>
                <w:b/>
                <w:sz w:val="24"/>
              </w:rPr>
              <w:t>项目实施时间</w:t>
            </w:r>
          </w:p>
        </w:tc>
        <w:tc>
          <w:tcPr>
            <w:tcW w:w="7261" w:type="dxa"/>
            <w:gridSpan w:val="16"/>
            <w:tcBorders>
              <w:top w:val="single" w:color="auto" w:sz="4" w:space="0"/>
              <w:left w:val="single" w:color="000000" w:sz="2" w:space="0"/>
              <w:bottom w:val="single" w:color="000000" w:sz="2" w:space="0"/>
              <w:right w:val="single" w:color="000000" w:sz="2" w:space="0"/>
            </w:tcBorders>
            <w:noWrap w:val="0"/>
            <w:vAlign w:val="center"/>
          </w:tcPr>
          <w:p>
            <w:pPr>
              <w:jc w:val="center"/>
              <w:rPr>
                <w:kern w:val="0"/>
                <w:sz w:val="24"/>
              </w:rPr>
            </w:pPr>
            <w:r>
              <w:rPr>
                <w:sz w:val="24"/>
              </w:rPr>
              <w:t xml:space="preserve">起始时间：  </w:t>
            </w:r>
            <w:r>
              <w:rPr>
                <w:rFonts w:hint="eastAsia"/>
                <w:sz w:val="24"/>
              </w:rPr>
              <w:t>2018</w:t>
            </w:r>
            <w:r>
              <w:rPr>
                <w:sz w:val="24"/>
              </w:rPr>
              <w:t xml:space="preserve">   年 </w:t>
            </w:r>
            <w:r>
              <w:rPr>
                <w:rFonts w:hint="eastAsia"/>
                <w:sz w:val="24"/>
              </w:rPr>
              <w:t>4</w:t>
            </w:r>
            <w:r>
              <w:rPr>
                <w:sz w:val="24"/>
              </w:rPr>
              <w:t xml:space="preserve"> 月         完成时间：</w:t>
            </w:r>
            <w:r>
              <w:rPr>
                <w:rFonts w:hint="eastAsia"/>
                <w:sz w:val="24"/>
              </w:rPr>
              <w:t>2022</w:t>
            </w:r>
            <w:r>
              <w:rPr>
                <w:sz w:val="24"/>
              </w:rPr>
              <w:t xml:space="preserve">  年 </w:t>
            </w:r>
            <w:r>
              <w:rPr>
                <w:rFonts w:hint="eastAsia"/>
                <w:sz w:val="24"/>
              </w:rPr>
              <w:t>5</w:t>
            </w:r>
            <w:r>
              <w:rPr>
                <w:sz w:val="24"/>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0" w:hRule="atLeast"/>
          <w:jc w:val="center"/>
        </w:trPr>
        <w:tc>
          <w:tcPr>
            <w:tcW w:w="794"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jc w:val="center"/>
              <w:rPr>
                <w:b/>
                <w:kern w:val="0"/>
                <w:sz w:val="24"/>
              </w:rPr>
            </w:pPr>
            <w:r>
              <w:rPr>
                <w:b/>
                <w:kern w:val="0"/>
                <w:sz w:val="24"/>
              </w:rPr>
              <w:t>项目</w:t>
            </w:r>
          </w:p>
          <w:p>
            <w:pPr>
              <w:widowControl/>
              <w:jc w:val="center"/>
              <w:rPr>
                <w:b/>
                <w:kern w:val="0"/>
                <w:sz w:val="24"/>
              </w:rPr>
            </w:pPr>
            <w:r>
              <w:rPr>
                <w:b/>
                <w:kern w:val="0"/>
                <w:sz w:val="24"/>
              </w:rPr>
              <w:t>负责</w:t>
            </w:r>
          </w:p>
          <w:p>
            <w:pPr>
              <w:widowControl/>
              <w:jc w:val="center"/>
              <w:rPr>
                <w:b/>
                <w:kern w:val="0"/>
                <w:sz w:val="24"/>
              </w:rPr>
            </w:pPr>
            <w:r>
              <w:rPr>
                <w:b/>
                <w:kern w:val="0"/>
                <w:sz w:val="24"/>
              </w:rPr>
              <w:t>人</w:t>
            </w:r>
          </w:p>
        </w:tc>
        <w:tc>
          <w:tcPr>
            <w:tcW w:w="1498"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姓名</w:t>
            </w:r>
          </w:p>
        </w:tc>
        <w:tc>
          <w:tcPr>
            <w:tcW w:w="1212" w:type="dxa"/>
            <w:gridSpan w:val="4"/>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72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性别</w:t>
            </w:r>
          </w:p>
        </w:tc>
        <w:tc>
          <w:tcPr>
            <w:tcW w:w="900" w:type="dxa"/>
            <w:gridSpan w:val="3"/>
            <w:tcBorders>
              <w:top w:val="single" w:color="000000" w:sz="2" w:space="0"/>
              <w:left w:val="single" w:color="000000" w:sz="2" w:space="0"/>
              <w:bottom w:val="single" w:color="000000" w:sz="2" w:space="0"/>
              <w:right w:val="single" w:color="auto" w:sz="4" w:space="0"/>
            </w:tcBorders>
            <w:noWrap w:val="0"/>
            <w:vAlign w:val="center"/>
          </w:tcPr>
          <w:p>
            <w:pPr>
              <w:widowControl/>
              <w:jc w:val="center"/>
              <w:rPr>
                <w:kern w:val="0"/>
                <w:sz w:val="24"/>
              </w:rPr>
            </w:pPr>
            <w:r>
              <w:rPr>
                <w:kern w:val="0"/>
                <w:sz w:val="24"/>
              </w:rPr>
              <w:t>男</w:t>
            </w:r>
          </w:p>
        </w:tc>
        <w:tc>
          <w:tcPr>
            <w:tcW w:w="1260" w:type="dxa"/>
            <w:gridSpan w:val="3"/>
            <w:tcBorders>
              <w:top w:val="single" w:color="000000" w:sz="2" w:space="0"/>
              <w:left w:val="single" w:color="auto" w:sz="4" w:space="0"/>
              <w:bottom w:val="single" w:color="000000" w:sz="2" w:space="0"/>
              <w:right w:val="single" w:color="000000" w:sz="2" w:space="0"/>
            </w:tcBorders>
            <w:noWrap w:val="0"/>
            <w:vAlign w:val="center"/>
          </w:tcPr>
          <w:p>
            <w:pPr>
              <w:jc w:val="center"/>
              <w:rPr>
                <w:kern w:val="0"/>
                <w:sz w:val="24"/>
              </w:rPr>
            </w:pPr>
            <w:r>
              <w:rPr>
                <w:kern w:val="0"/>
                <w:sz w:val="24"/>
              </w:rPr>
              <w:t>成绩排名</w:t>
            </w:r>
          </w:p>
        </w:tc>
        <w:tc>
          <w:tcPr>
            <w:tcW w:w="3169" w:type="dxa"/>
            <w:gridSpan w:val="5"/>
            <w:tcBorders>
              <w:top w:val="single" w:color="auto" w:sz="4" w:space="0"/>
              <w:left w:val="single" w:color="000000" w:sz="2" w:space="0"/>
              <w:bottom w:val="single" w:color="auto" w:sz="4" w:space="0"/>
              <w:right w:val="single" w:color="000000" w:sz="2" w:space="0"/>
            </w:tcBorders>
            <w:noWrap w:val="0"/>
            <w:vAlign w:val="center"/>
          </w:tcPr>
          <w:p>
            <w:pPr>
              <w:widowControl/>
              <w:jc w:val="center"/>
              <w:rPr>
                <w:kern w:val="0"/>
                <w:sz w:val="24"/>
              </w:rPr>
            </w:pPr>
            <w:r>
              <w:rPr>
                <w:kern w:val="0"/>
                <w:sz w:val="24"/>
              </w:rPr>
              <w:t xml:space="preserve">  </w:t>
            </w:r>
            <w:r>
              <w:rPr>
                <w:rFonts w:hint="eastAsia"/>
                <w:kern w:val="0"/>
                <w:sz w:val="24"/>
              </w:rPr>
              <w:t>3</w:t>
            </w:r>
            <w:r>
              <w:rPr>
                <w:kern w:val="0"/>
                <w:sz w:val="24"/>
              </w:rPr>
              <w:t xml:space="preserve"> /</w:t>
            </w:r>
            <w:r>
              <w:rPr>
                <w:rFonts w:hint="eastAsia"/>
                <w:kern w:val="0"/>
                <w:sz w:val="24"/>
              </w:rPr>
              <w:t>41</w:t>
            </w:r>
            <w:r>
              <w:rPr>
                <w:kern w:val="0"/>
                <w:sz w:val="24"/>
              </w:rPr>
              <w:t xml:space="preserve"> （名次/专业人数）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7" w:hRule="atLeast"/>
          <w:jc w:val="center"/>
        </w:trPr>
        <w:tc>
          <w:tcPr>
            <w:tcW w:w="7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jc w:val="left"/>
              <w:rPr>
                <w:b/>
                <w:kern w:val="0"/>
                <w:sz w:val="24"/>
              </w:rPr>
            </w:pPr>
          </w:p>
        </w:tc>
        <w:tc>
          <w:tcPr>
            <w:tcW w:w="2170" w:type="dxa"/>
            <w:gridSpan w:val="4"/>
            <w:tcBorders>
              <w:top w:val="single" w:color="000000" w:sz="2" w:space="0"/>
              <w:left w:val="single" w:color="000000" w:sz="2" w:space="0"/>
              <w:bottom w:val="single" w:color="000000" w:sz="2" w:space="0"/>
              <w:right w:val="single" w:color="auto" w:sz="4" w:space="0"/>
            </w:tcBorders>
            <w:noWrap w:val="0"/>
            <w:vAlign w:val="center"/>
          </w:tcPr>
          <w:p>
            <w:pPr>
              <w:widowControl/>
              <w:rPr>
                <w:kern w:val="0"/>
                <w:sz w:val="24"/>
              </w:rPr>
            </w:pPr>
            <w:r>
              <w:rPr>
                <w:kern w:val="0"/>
                <w:sz w:val="24"/>
              </w:rPr>
              <w:t>学院、专业、班级</w:t>
            </w:r>
          </w:p>
        </w:tc>
        <w:tc>
          <w:tcPr>
            <w:tcW w:w="6589" w:type="dxa"/>
            <w:gridSpan w:val="14"/>
            <w:tcBorders>
              <w:top w:val="single" w:color="000000" w:sz="2" w:space="0"/>
              <w:left w:val="single" w:color="auto" w:sz="4" w:space="0"/>
              <w:bottom w:val="single" w:color="000000" w:sz="2" w:space="0"/>
              <w:right w:val="single" w:color="000000" w:sz="2" w:space="0"/>
            </w:tcBorders>
            <w:noWrap w:val="0"/>
            <w:vAlign w:val="center"/>
          </w:tcPr>
          <w:p>
            <w:pPr>
              <w:widowControl/>
              <w:rPr>
                <w:kern w:val="0"/>
                <w:sz w:val="24"/>
              </w:rPr>
            </w:pPr>
            <w:r>
              <w:rPr>
                <w:rFonts w:hint="eastAsia"/>
                <w:kern w:val="0"/>
                <w:sz w:val="24"/>
              </w:rPr>
              <w:t>印刷出版工程学院数字媒体应用技术专业</w:t>
            </w:r>
            <w:r>
              <w:rPr>
                <w:rFonts w:hint="eastAsia"/>
                <w:kern w:val="0"/>
                <w:sz w:val="24"/>
                <w:lang w:val="en-US" w:eastAsia="zh-CN"/>
              </w:rPr>
              <w:t>xxx</w:t>
            </w:r>
            <w:r>
              <w:rPr>
                <w:rFonts w:hint="eastAsia"/>
                <w:kern w:val="0"/>
                <w:sz w:val="24"/>
              </w:rPr>
              <w:t>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4" w:hRule="atLeast"/>
          <w:jc w:val="center"/>
        </w:trPr>
        <w:tc>
          <w:tcPr>
            <w:tcW w:w="7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jc w:val="left"/>
              <w:rPr>
                <w:b/>
                <w:kern w:val="0"/>
                <w:sz w:val="24"/>
              </w:rPr>
            </w:pPr>
          </w:p>
        </w:tc>
        <w:tc>
          <w:tcPr>
            <w:tcW w:w="2170" w:type="dxa"/>
            <w:gridSpan w:val="4"/>
            <w:tcBorders>
              <w:top w:val="single" w:color="000000" w:sz="2" w:space="0"/>
              <w:left w:val="single" w:color="000000" w:sz="2" w:space="0"/>
              <w:bottom w:val="single" w:color="000000" w:sz="2" w:space="0"/>
              <w:right w:val="single" w:color="auto" w:sz="4" w:space="0"/>
            </w:tcBorders>
            <w:noWrap w:val="0"/>
            <w:vAlign w:val="center"/>
          </w:tcPr>
          <w:p>
            <w:pPr>
              <w:widowControl/>
              <w:jc w:val="center"/>
              <w:rPr>
                <w:kern w:val="0"/>
                <w:sz w:val="24"/>
              </w:rPr>
            </w:pPr>
            <w:r>
              <w:rPr>
                <w:kern w:val="0"/>
                <w:sz w:val="24"/>
              </w:rPr>
              <w:t>身份证号码</w:t>
            </w:r>
          </w:p>
        </w:tc>
        <w:tc>
          <w:tcPr>
            <w:tcW w:w="3240" w:type="dxa"/>
            <w:gridSpan w:val="8"/>
            <w:tcBorders>
              <w:top w:val="single" w:color="000000" w:sz="2" w:space="0"/>
              <w:left w:val="single" w:color="auto" w:sz="4" w:space="0"/>
              <w:bottom w:val="single" w:color="000000" w:sz="2" w:space="0"/>
              <w:right w:val="single" w:color="000000" w:sz="2" w:space="0"/>
            </w:tcBorders>
            <w:noWrap w:val="0"/>
            <w:vAlign w:val="center"/>
          </w:tcPr>
          <w:p>
            <w:pPr>
              <w:widowControl/>
              <w:jc w:val="center"/>
              <w:rPr>
                <w:kern w:val="0"/>
                <w:sz w:val="24"/>
              </w:rPr>
            </w:pPr>
          </w:p>
        </w:tc>
        <w:tc>
          <w:tcPr>
            <w:tcW w:w="1508" w:type="dxa"/>
            <w:gridSpan w:val="4"/>
            <w:tcBorders>
              <w:top w:val="single" w:color="000000" w:sz="2" w:space="0"/>
              <w:left w:val="single" w:color="auto" w:sz="4" w:space="0"/>
              <w:bottom w:val="single" w:color="000000" w:sz="2" w:space="0"/>
              <w:right w:val="single" w:color="000000" w:sz="2" w:space="0"/>
            </w:tcBorders>
            <w:noWrap w:val="0"/>
            <w:vAlign w:val="center"/>
          </w:tcPr>
          <w:p>
            <w:pPr>
              <w:widowControl/>
              <w:jc w:val="center"/>
              <w:rPr>
                <w:kern w:val="0"/>
                <w:sz w:val="24"/>
              </w:rPr>
            </w:pPr>
          </w:p>
        </w:tc>
        <w:tc>
          <w:tcPr>
            <w:tcW w:w="1841" w:type="dxa"/>
            <w:gridSpan w:val="2"/>
            <w:tcBorders>
              <w:top w:val="single" w:color="auto" w:sz="4" w:space="0"/>
              <w:left w:val="single" w:color="000000" w:sz="2" w:space="0"/>
              <w:bottom w:val="single" w:color="000000" w:sz="2" w:space="0"/>
              <w:right w:val="single" w:color="000000" w:sz="2" w:space="0"/>
            </w:tcBorders>
            <w:noWrap w:val="0"/>
            <w:vAlign w:val="center"/>
          </w:tcPr>
          <w:p>
            <w:pPr>
              <w:widowControl/>
              <w:jc w:val="center"/>
              <w:rPr>
                <w:kern w:val="0"/>
                <w:sz w:val="24"/>
              </w:rPr>
            </w:pPr>
            <w:bookmarkStart w:id="5" w:name="_GoBack"/>
            <w:bookmarkEnd w:id="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6" w:hRule="atLeast"/>
          <w:jc w:val="center"/>
        </w:trPr>
        <w:tc>
          <w:tcPr>
            <w:tcW w:w="7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jc w:val="left"/>
              <w:rPr>
                <w:b/>
                <w:kern w:val="0"/>
                <w:sz w:val="24"/>
              </w:rPr>
            </w:pPr>
          </w:p>
        </w:tc>
        <w:tc>
          <w:tcPr>
            <w:tcW w:w="2170" w:type="dxa"/>
            <w:gridSpan w:val="4"/>
            <w:tcBorders>
              <w:top w:val="single" w:color="000000" w:sz="2" w:space="0"/>
              <w:left w:val="single" w:color="000000" w:sz="2" w:space="0"/>
              <w:bottom w:val="single" w:color="000000" w:sz="2" w:space="0"/>
              <w:right w:val="single" w:color="auto" w:sz="4" w:space="0"/>
            </w:tcBorders>
            <w:noWrap w:val="0"/>
            <w:vAlign w:val="center"/>
          </w:tcPr>
          <w:p>
            <w:pPr>
              <w:widowControl/>
              <w:jc w:val="center"/>
              <w:rPr>
                <w:kern w:val="0"/>
                <w:sz w:val="24"/>
              </w:rPr>
            </w:pPr>
            <w:r>
              <w:rPr>
                <w:kern w:val="0"/>
                <w:sz w:val="24"/>
              </w:rPr>
              <w:t>联系方式</w:t>
            </w:r>
          </w:p>
        </w:tc>
        <w:tc>
          <w:tcPr>
            <w:tcW w:w="3240" w:type="dxa"/>
            <w:gridSpan w:val="8"/>
            <w:tcBorders>
              <w:top w:val="single" w:color="000000" w:sz="2" w:space="0"/>
              <w:left w:val="single" w:color="auto" w:sz="4" w:space="0"/>
              <w:bottom w:val="single" w:color="000000" w:sz="2" w:space="0"/>
              <w:right w:val="single" w:color="000000" w:sz="2" w:space="0"/>
            </w:tcBorders>
            <w:noWrap w:val="0"/>
            <w:vAlign w:val="center"/>
          </w:tcPr>
          <w:p>
            <w:pPr>
              <w:widowControl/>
              <w:jc w:val="center"/>
              <w:rPr>
                <w:kern w:val="0"/>
                <w:sz w:val="24"/>
              </w:rPr>
            </w:pPr>
          </w:p>
        </w:tc>
        <w:tc>
          <w:tcPr>
            <w:tcW w:w="1366" w:type="dxa"/>
            <w:gridSpan w:val="3"/>
            <w:tcBorders>
              <w:top w:val="single" w:color="000000" w:sz="2" w:space="0"/>
              <w:left w:val="single" w:color="auto" w:sz="4" w:space="0"/>
              <w:bottom w:val="single" w:color="000000" w:sz="2" w:space="0"/>
              <w:right w:val="single" w:color="000000" w:sz="2" w:space="0"/>
            </w:tcBorders>
            <w:noWrap w:val="0"/>
            <w:vAlign w:val="center"/>
          </w:tcPr>
          <w:p>
            <w:pPr>
              <w:widowControl/>
              <w:jc w:val="center"/>
              <w:rPr>
                <w:kern w:val="0"/>
                <w:sz w:val="24"/>
              </w:rPr>
            </w:pPr>
          </w:p>
        </w:tc>
        <w:tc>
          <w:tcPr>
            <w:tcW w:w="1983"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794" w:type="dxa"/>
            <w:vMerge w:val="restart"/>
            <w:tcBorders>
              <w:top w:val="single" w:color="000000" w:sz="2" w:space="0"/>
              <w:left w:val="single" w:color="000000" w:sz="2" w:space="0"/>
              <w:bottom w:val="single" w:color="auto" w:sz="4" w:space="0"/>
              <w:right w:val="single" w:color="000000" w:sz="2" w:space="0"/>
            </w:tcBorders>
            <w:noWrap w:val="0"/>
            <w:vAlign w:val="center"/>
          </w:tcPr>
          <w:p>
            <w:pPr>
              <w:widowControl/>
              <w:jc w:val="center"/>
              <w:rPr>
                <w:b/>
                <w:kern w:val="0"/>
                <w:sz w:val="24"/>
              </w:rPr>
            </w:pPr>
            <w:r>
              <w:rPr>
                <w:b/>
                <w:kern w:val="0"/>
                <w:sz w:val="24"/>
              </w:rPr>
              <w:t>指导教师</w:t>
            </w:r>
          </w:p>
        </w:tc>
        <w:tc>
          <w:tcPr>
            <w:tcW w:w="1924" w:type="dxa"/>
            <w:gridSpan w:val="3"/>
            <w:tcBorders>
              <w:top w:val="single" w:color="000000" w:sz="2" w:space="0"/>
              <w:left w:val="single" w:color="000000" w:sz="2" w:space="0"/>
              <w:bottom w:val="single" w:color="auto" w:sz="4" w:space="0"/>
              <w:right w:val="single" w:color="000000" w:sz="2" w:space="0"/>
            </w:tcBorders>
            <w:noWrap w:val="0"/>
            <w:vAlign w:val="center"/>
          </w:tcPr>
          <w:p>
            <w:pPr>
              <w:jc w:val="center"/>
              <w:rPr>
                <w:sz w:val="24"/>
              </w:rPr>
            </w:pPr>
            <w:r>
              <w:rPr>
                <w:sz w:val="24"/>
              </w:rPr>
              <w:t>姓名</w:t>
            </w:r>
          </w:p>
        </w:tc>
        <w:tc>
          <w:tcPr>
            <w:tcW w:w="1866" w:type="dxa"/>
            <w:gridSpan w:val="6"/>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r>
              <w:rPr>
                <w:sz w:val="24"/>
              </w:rPr>
              <w:t>职称、职务</w:t>
            </w:r>
          </w:p>
        </w:tc>
        <w:tc>
          <w:tcPr>
            <w:tcW w:w="3128" w:type="dxa"/>
            <w:gridSpan w:val="7"/>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r>
              <w:rPr>
                <w:sz w:val="24"/>
              </w:rPr>
              <w:t>所在学院</w:t>
            </w:r>
          </w:p>
        </w:tc>
        <w:tc>
          <w:tcPr>
            <w:tcW w:w="1841" w:type="dxa"/>
            <w:gridSpan w:val="2"/>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r>
              <w:rPr>
                <w:sz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8"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924" w:type="dxa"/>
            <w:gridSpan w:val="3"/>
            <w:tcBorders>
              <w:top w:val="single" w:color="000000" w:sz="2" w:space="0"/>
              <w:left w:val="single" w:color="000000" w:sz="2" w:space="0"/>
              <w:bottom w:val="single" w:color="auto" w:sz="4" w:space="0"/>
              <w:right w:val="single" w:color="000000" w:sz="2" w:space="0"/>
            </w:tcBorders>
            <w:noWrap w:val="0"/>
            <w:vAlign w:val="center"/>
          </w:tcPr>
          <w:p>
            <w:pPr>
              <w:jc w:val="center"/>
              <w:rPr>
                <w:sz w:val="24"/>
              </w:rPr>
            </w:pPr>
          </w:p>
        </w:tc>
        <w:tc>
          <w:tcPr>
            <w:tcW w:w="1866" w:type="dxa"/>
            <w:gridSpan w:val="6"/>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p>
        </w:tc>
        <w:tc>
          <w:tcPr>
            <w:tcW w:w="3128" w:type="dxa"/>
            <w:gridSpan w:val="7"/>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p>
        </w:tc>
        <w:tc>
          <w:tcPr>
            <w:tcW w:w="1841" w:type="dxa"/>
            <w:gridSpan w:val="2"/>
            <w:tcBorders>
              <w:top w:val="single" w:color="auto" w:sz="4" w:space="0"/>
              <w:left w:val="single" w:color="auto" w:sz="4" w:space="0"/>
              <w:bottom w:val="single" w:color="auto" w:sz="4" w:space="0"/>
              <w:right w:val="single" w:color="000000" w:sz="2" w:space="0"/>
            </w:tcBorders>
            <w:noWrap w:val="0"/>
            <w:vAlign w:val="center"/>
          </w:tcPr>
          <w:p>
            <w:pPr>
              <w:jc w:val="center"/>
              <w:rPr>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2"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8759" w:type="dxa"/>
            <w:gridSpan w:val="18"/>
            <w:tcBorders>
              <w:top w:val="single" w:color="auto" w:sz="4" w:space="0"/>
              <w:left w:val="single" w:color="000000" w:sz="2" w:space="0"/>
              <w:bottom w:val="single" w:color="auto" w:sz="4" w:space="0"/>
              <w:right w:val="single" w:color="000000" w:sz="2" w:space="0"/>
            </w:tcBorders>
            <w:noWrap w:val="0"/>
            <w:vAlign w:val="top"/>
          </w:tcPr>
          <w:p>
            <w:pPr>
              <w:rPr>
                <w:sz w:val="24"/>
              </w:rPr>
            </w:pPr>
            <w:r>
              <w:rPr>
                <w:sz w:val="24"/>
              </w:rPr>
              <w:t>指导过的创业类竞赛（未指导过的填无）</w:t>
            </w:r>
          </w:p>
          <w:p>
            <w:pPr>
              <w:rPr>
                <w:sz w:val="24"/>
              </w:rPr>
            </w:pPr>
            <w:r>
              <w:rPr>
                <w:rFonts w:hint="eastAsia"/>
                <w:sz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4" w:hRule="atLeast"/>
          <w:jc w:val="center"/>
        </w:trPr>
        <w:tc>
          <w:tcPr>
            <w:tcW w:w="794" w:type="dxa"/>
            <w:vMerge w:val="restart"/>
            <w:tcBorders>
              <w:top w:val="single" w:color="000000" w:sz="2" w:space="0"/>
              <w:left w:val="single" w:color="000000" w:sz="2" w:space="0"/>
              <w:bottom w:val="single" w:color="auto" w:sz="4" w:space="0"/>
              <w:right w:val="single" w:color="000000" w:sz="2" w:space="0"/>
            </w:tcBorders>
            <w:noWrap w:val="0"/>
            <w:vAlign w:val="center"/>
          </w:tcPr>
          <w:p>
            <w:pPr>
              <w:widowControl/>
              <w:jc w:val="center"/>
              <w:rPr>
                <w:b/>
                <w:kern w:val="0"/>
                <w:sz w:val="24"/>
              </w:rPr>
            </w:pPr>
            <w:r>
              <w:rPr>
                <w:b/>
                <w:kern w:val="0"/>
                <w:sz w:val="24"/>
              </w:rPr>
              <w:t>创业团队人员信息</w:t>
            </w:r>
          </w:p>
        </w:tc>
        <w:tc>
          <w:tcPr>
            <w:tcW w:w="1498"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姓名</w:t>
            </w:r>
          </w:p>
        </w:tc>
        <w:tc>
          <w:tcPr>
            <w:tcW w:w="705"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性别</w:t>
            </w:r>
          </w:p>
        </w:tc>
        <w:tc>
          <w:tcPr>
            <w:tcW w:w="1478"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学院专业</w:t>
            </w:r>
          </w:p>
        </w:tc>
        <w:tc>
          <w:tcPr>
            <w:tcW w:w="1662"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学号</w:t>
            </w:r>
          </w:p>
        </w:tc>
        <w:tc>
          <w:tcPr>
            <w:tcW w:w="1575"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联系电话</w:t>
            </w:r>
          </w:p>
        </w:tc>
        <w:tc>
          <w:tcPr>
            <w:tcW w:w="1841"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sz w:val="24"/>
              </w:rPr>
              <w:t>工作分工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2"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498"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705"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1662" w:type="dxa"/>
            <w:gridSpan w:val="3"/>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1575"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p>
        </w:tc>
        <w:tc>
          <w:tcPr>
            <w:tcW w:w="1841"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kern w:val="0"/>
                <w:sz w:val="24"/>
              </w:rPr>
            </w:pPr>
            <w:r>
              <w:rPr>
                <w:kern w:val="0"/>
                <w:sz w:val="24"/>
              </w:rPr>
              <w:t>市场开拓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5"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498"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705"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662"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575" w:type="dxa"/>
            <w:gridSpan w:val="5"/>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841"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r>
              <w:rPr>
                <w:kern w:val="0"/>
                <w:sz w:val="24"/>
              </w:rPr>
              <w:t>项目总监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7"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498"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705"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662"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575" w:type="dxa"/>
            <w:gridSpan w:val="5"/>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841"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r>
              <w:rPr>
                <w:kern w:val="0"/>
                <w:sz w:val="24"/>
              </w:rPr>
              <w:t>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498"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705"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662"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575" w:type="dxa"/>
            <w:gridSpan w:val="5"/>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841"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r>
              <w:rPr>
                <w:kern w:val="0"/>
                <w:sz w:val="24"/>
              </w:rPr>
              <w:t>模型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3" w:hRule="atLeast"/>
          <w:jc w:val="center"/>
        </w:trPr>
        <w:tc>
          <w:tcPr>
            <w:tcW w:w="794" w:type="dxa"/>
            <w:vMerge w:val="continue"/>
            <w:tcBorders>
              <w:top w:val="single" w:color="000000" w:sz="2" w:space="0"/>
              <w:left w:val="single" w:color="000000" w:sz="2" w:space="0"/>
              <w:bottom w:val="single" w:color="auto" w:sz="4" w:space="0"/>
              <w:right w:val="single" w:color="000000" w:sz="2" w:space="0"/>
            </w:tcBorders>
            <w:noWrap w:val="0"/>
            <w:vAlign w:val="center"/>
          </w:tcPr>
          <w:p>
            <w:pPr>
              <w:widowControl/>
              <w:jc w:val="left"/>
              <w:rPr>
                <w:b/>
                <w:kern w:val="0"/>
                <w:sz w:val="24"/>
              </w:rPr>
            </w:pPr>
          </w:p>
        </w:tc>
        <w:tc>
          <w:tcPr>
            <w:tcW w:w="1498"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705"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662" w:type="dxa"/>
            <w:gridSpan w:val="3"/>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575" w:type="dxa"/>
            <w:gridSpan w:val="5"/>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p>
        </w:tc>
        <w:tc>
          <w:tcPr>
            <w:tcW w:w="1841" w:type="dxa"/>
            <w:gridSpan w:val="2"/>
            <w:tcBorders>
              <w:top w:val="single" w:color="000000" w:sz="2" w:space="0"/>
              <w:left w:val="single" w:color="000000" w:sz="2" w:space="0"/>
              <w:bottom w:val="single" w:color="000000" w:sz="2" w:space="0"/>
              <w:right w:val="single" w:color="000000" w:sz="2" w:space="0"/>
            </w:tcBorders>
            <w:noWrap w:val="0"/>
            <w:vAlign w:val="top"/>
          </w:tcPr>
          <w:p>
            <w:pPr>
              <w:widowControl/>
              <w:jc w:val="center"/>
              <w:rPr>
                <w:kern w:val="0"/>
                <w:sz w:val="24"/>
              </w:rPr>
            </w:pPr>
            <w:r>
              <w:rPr>
                <w:kern w:val="0"/>
                <w:sz w:val="24"/>
              </w:rPr>
              <w:t>测试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5" w:hRule="atLeast"/>
          <w:jc w:val="center"/>
        </w:trPr>
        <w:tc>
          <w:tcPr>
            <w:tcW w:w="794" w:type="dxa"/>
            <w:tcBorders>
              <w:top w:val="single" w:color="auto" w:sz="4" w:space="0"/>
              <w:left w:val="single" w:color="000000" w:sz="2" w:space="0"/>
              <w:bottom w:val="single" w:color="000000" w:sz="2" w:space="0"/>
              <w:right w:val="single" w:color="000000" w:sz="2" w:space="0"/>
            </w:tcBorders>
            <w:noWrap w:val="0"/>
            <w:vAlign w:val="center"/>
          </w:tcPr>
          <w:p>
            <w:pPr>
              <w:jc w:val="center"/>
              <w:rPr>
                <w:b/>
                <w:kern w:val="0"/>
                <w:sz w:val="24"/>
              </w:rPr>
            </w:pPr>
            <w:r>
              <w:rPr>
                <w:b/>
                <w:kern w:val="0"/>
                <w:sz w:val="24"/>
              </w:rPr>
              <w:t>项目简介</w:t>
            </w:r>
          </w:p>
          <w:p>
            <w:pPr>
              <w:jc w:val="center"/>
              <w:rPr>
                <w:kern w:val="0"/>
                <w:sz w:val="24"/>
              </w:rPr>
            </w:pPr>
            <w:r>
              <w:rPr>
                <w:kern w:val="0"/>
                <w:sz w:val="24"/>
              </w:rPr>
              <w:t>（80-120字）</w:t>
            </w:r>
          </w:p>
        </w:tc>
        <w:tc>
          <w:tcPr>
            <w:tcW w:w="8759" w:type="dxa"/>
            <w:gridSpan w:val="18"/>
            <w:tcBorders>
              <w:top w:val="single" w:color="auto" w:sz="4" w:space="0"/>
              <w:left w:val="single" w:color="000000" w:sz="2" w:space="0"/>
              <w:bottom w:val="single" w:color="000000" w:sz="2" w:space="0"/>
              <w:right w:val="single" w:color="000000" w:sz="2" w:space="0"/>
            </w:tcBorders>
            <w:noWrap w:val="0"/>
            <w:vAlign w:val="center"/>
          </w:tcPr>
          <w:p>
            <w:pPr>
              <w:spacing w:line="360" w:lineRule="auto"/>
              <w:ind w:firstLine="480" w:firstLineChars="200"/>
              <w:jc w:val="left"/>
              <w:rPr>
                <w:sz w:val="24"/>
              </w:rPr>
            </w:pPr>
            <w:r>
              <w:rPr>
                <w:rFonts w:hint="eastAsia"/>
                <w:sz w:val="24"/>
              </w:rPr>
              <w:t>炫凯数字媒体创新工作室是由我校印刷出版工程学院数字媒体应用技术专业学生和老师组成。工作室由</w:t>
            </w:r>
            <w:r>
              <w:rPr>
                <w:rFonts w:hint="eastAsia"/>
                <w:sz w:val="24"/>
                <w:lang w:val="en-US" w:eastAsia="zh-CN"/>
              </w:rPr>
              <w:t xml:space="preserve"> </w:t>
            </w:r>
            <w:r>
              <w:rPr>
                <w:rFonts w:hint="eastAsia"/>
                <w:sz w:val="24"/>
              </w:rPr>
              <w:t>为指导老师。是以虚拟现实、互动媒体为主，兼顾影视动画、立体影视、展览展示的综合性的专业工作室。</w:t>
            </w:r>
          </w:p>
          <w:p>
            <w:pPr>
              <w:widowControl/>
              <w:jc w:val="center"/>
              <w:rPr>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58" w:hRule="atLeast"/>
          <w:jc w:val="center"/>
        </w:trPr>
        <w:tc>
          <w:tcPr>
            <w:tcW w:w="794"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rPr>
                <w:b/>
                <w:sz w:val="24"/>
              </w:rPr>
            </w:pPr>
            <w:r>
              <w:rPr>
                <w:b/>
                <w:sz w:val="24"/>
              </w:rPr>
              <w:t>项目优势总结</w:t>
            </w:r>
          </w:p>
        </w:tc>
        <w:tc>
          <w:tcPr>
            <w:tcW w:w="8759" w:type="dxa"/>
            <w:gridSpan w:val="18"/>
            <w:tcBorders>
              <w:top w:val="single" w:color="auto" w:sz="4" w:space="0"/>
              <w:left w:val="single" w:color="000000" w:sz="2" w:space="0"/>
              <w:bottom w:val="single" w:color="000000" w:sz="2" w:space="0"/>
              <w:right w:val="single" w:color="000000" w:sz="2" w:space="0"/>
            </w:tcBorders>
            <w:noWrap w:val="0"/>
            <w:vAlign w:val="top"/>
          </w:tcPr>
          <w:p>
            <w:pPr>
              <w:spacing w:line="360" w:lineRule="auto"/>
              <w:ind w:firstLine="480" w:firstLineChars="200"/>
              <w:jc w:val="left"/>
              <w:rPr>
                <w:rFonts w:ascii="宋体" w:hAnsi="宋体" w:cs="宋体"/>
                <w:kern w:val="0"/>
                <w:sz w:val="24"/>
              </w:rPr>
            </w:pPr>
            <w:r>
              <w:rPr>
                <w:sz w:val="24"/>
              </w:rPr>
              <w:t>团队具有丰富项目设计与开发经验，团队指导教师为数字媒体应用技术专业教研室主任，这极大的便利了团队开展工作，工作亦不断地趋于正规化与规模化，并且在此过程中积累了一定经验和客户关系。目前一些公司已经与我们达成了关于外包合作的共识。</w:t>
            </w:r>
            <w:r>
              <w:rPr>
                <w:sz w:val="24"/>
              </w:rPr>
              <w:br w:type="textWrapping"/>
            </w:r>
            <w:r>
              <w:rPr>
                <w:rFonts w:hint="eastAsia"/>
                <w:sz w:val="24"/>
              </w:rPr>
              <w:t xml:space="preserve">  </w:t>
            </w:r>
            <w:r>
              <w:rPr>
                <w:sz w:val="24"/>
              </w:rPr>
              <w:t>为实现前期资本的积累，我们做了充分的准备，包括建立广泛的社会关系来避免资金不足而可能带来的运转困难。目前我们与兰州石化职业技术学院、兰州石化公司、兰州文理学院、兰州工业学院、甘肃大乘影视公司、兰州阿甘文化传媒有限公司等有了不同程度的沟通，并与其中部分有过愉快的商业合作，这为我们初期创业的项目来源、资金流动提供了一个广泛的渠道。</w:t>
            </w:r>
            <w:r>
              <w:rPr>
                <w:sz w:val="24"/>
              </w:rPr>
              <w:br w:type="textWrapping"/>
            </w:r>
            <w:r>
              <w:rPr>
                <w:rFonts w:hint="eastAsia"/>
                <w:sz w:val="24"/>
              </w:rPr>
              <w:t xml:space="preserve">  </w:t>
            </w:r>
            <w:r>
              <w:rPr>
                <w:sz w:val="24"/>
              </w:rPr>
              <w:t>工作室可以为学生提供实习锻炼的机会，定期邀请行业专家举办专业讲座，让学生自己面对客户参与到真实的项目中去。数字媒体行业的需求量较大，目前市场上公司众多，但都是以虚拟现实内容开发为主要业务的公司较少，在甘肃兰州更是屈指可数，工作室设立在学校内部，有着学校强大的硬件支持，目前学校这个名词还是值得信赖的，所以在学校这个大环境下成立数字媒体工作室，有着价格、教育行业的优势，工作室的运行有着巨大市场发展潜力。</w:t>
            </w:r>
            <w:r>
              <w:rPr>
                <w:sz w:val="24"/>
              </w:rPr>
              <w:br w:type="textWrapping"/>
            </w:r>
            <w:r>
              <w:rPr>
                <w:sz w:val="24"/>
              </w:rPr>
              <w:t xml:space="preserve">市场上的设计公司和工作室，大多都价格昂贵，好多人望而却步。在VR/AR火热的当下，大多数虚拟现实公司都是销售和搭建硬件平台，国内虚拟现实内容开发公司屈指可数，在西北地区更是存在着很大的缺口。工作室地设立在学校内部，有着学校强大的硬件支持。更有着技术前沿的指导教师引路。我们的工作人员拥有较扎实的技术水准，可以给客户一个满意的答复。在学校的大环境下成立专业工作室，更容易被市场客户认同。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58" w:hRule="atLeast"/>
          <w:jc w:val="center"/>
        </w:trPr>
        <w:tc>
          <w:tcPr>
            <w:tcW w:w="9535" w:type="dxa"/>
            <w:gridSpan w:val="18"/>
            <w:tcBorders>
              <w:top w:val="single" w:color="auto" w:sz="4" w:space="0"/>
              <w:left w:val="single" w:color="auto" w:sz="4" w:space="0"/>
              <w:bottom w:val="nil"/>
              <w:right w:val="single" w:color="auto" w:sz="4" w:space="0"/>
            </w:tcBorders>
            <w:noWrap w:val="0"/>
            <w:vAlign w:val="center"/>
          </w:tcPr>
          <w:p>
            <w:pPr>
              <w:widowControl/>
              <w:rPr>
                <w:sz w:val="24"/>
              </w:rPr>
            </w:pPr>
            <w:r>
              <w:rPr>
                <w:b/>
                <w:sz w:val="24"/>
              </w:rPr>
              <w:t>一、项目介绍</w:t>
            </w:r>
            <w:r>
              <w:rPr>
                <w:kern w:val="0"/>
                <w:sz w:val="24"/>
              </w:rPr>
              <w:t>（1行业背景2产品或服务特色 3商业模式/赢利模式等）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1408"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line="360" w:lineRule="auto"/>
              <w:ind w:firstLine="480" w:firstLineChars="200"/>
              <w:jc w:val="left"/>
              <w:rPr>
                <w:sz w:val="24"/>
              </w:rPr>
            </w:pPr>
            <w:r>
              <w:rPr>
                <w:sz w:val="24"/>
              </w:rPr>
              <w:t>国家863计划自2003年以来支持数字媒体技术的研发，已取得重要阶段进展。在上海市对外公布的“2016年度人才开发”目录中，动画和游戏产业所需的数字媒体人才被列为上海急需的十大软件人才之首。</w:t>
            </w:r>
            <w:r>
              <w:rPr>
                <w:rFonts w:hint="eastAsia"/>
                <w:sz w:val="24"/>
              </w:rPr>
              <w:t>据</w:t>
            </w:r>
            <w:r>
              <w:rPr>
                <w:sz w:val="24"/>
              </w:rPr>
              <w:t>工信部《</w:t>
            </w:r>
            <w:r>
              <w:rPr>
                <w:rFonts w:hint="eastAsia"/>
                <w:sz w:val="24"/>
              </w:rPr>
              <w:t>虚拟现实产业发展白皮书5.0</w:t>
            </w:r>
            <w:r>
              <w:rPr>
                <w:sz w:val="24"/>
              </w:rPr>
              <w:t>》</w:t>
            </w:r>
            <w:r>
              <w:rPr>
                <w:rFonts w:hint="eastAsia"/>
                <w:sz w:val="24"/>
              </w:rPr>
              <w:t>的预测，至2020年我国国内市场虚拟现实的产业规模将超过550亿元。我国《十三五规划纲要》中也明确提出，将大力推进虚拟现实等新兴前沿领域创新和产业化，形成一批新增长点。《国务院关于印发国家教育事业发展“十三五”规划的通知》中指出“全力推动信息技术与教育教学深度融合，支持综合利用互联网、大数据、人工智能和虚拟现实技术探索未来教育教学新模式。”</w:t>
            </w:r>
          </w:p>
          <w:p>
            <w:pPr>
              <w:spacing w:line="360" w:lineRule="auto"/>
              <w:ind w:firstLine="480" w:firstLineChars="200"/>
              <w:jc w:val="left"/>
              <w:rPr>
                <w:rFonts w:hint="eastAsia"/>
                <w:sz w:val="24"/>
              </w:rPr>
            </w:pPr>
            <w:r>
              <w:rPr>
                <w:sz w:val="24"/>
              </w:rPr>
              <w:t>围绕“中国制造2025”、和“一带一路”等国家战略进行布局和产品研发。</w:t>
            </w:r>
            <w:r>
              <w:rPr>
                <w:rFonts w:hint="eastAsia"/>
                <w:sz w:val="24"/>
              </w:rPr>
              <w:t>工作室以“适应新时代、对标新要求”为宗旨，秉承科技为基、创意为先、文化为魂的发展理念，在互联网思维指导下推动数字媒体技术跨领域融合创新，着力探索、拓宽数字媒体技术在社会各个领域的应用渠道，现形成了虚拟现实、互动媒体、影视动画、立体影视、展览展示为核心的服务体系。工作室业务无缝对接数字媒体应用技术专业，</w:t>
            </w:r>
            <w:r>
              <w:rPr>
                <w:sz w:val="24"/>
              </w:rPr>
              <w:t>针对社会日益增长的数字媒体资源需求、培养具有专业能力、创新能力、创业能力的人才，提高我校相关专业毕业生的就业竞争力。</w:t>
            </w:r>
          </w:p>
          <w:p>
            <w:pPr>
              <w:spacing w:line="360" w:lineRule="auto"/>
              <w:ind w:firstLine="480" w:firstLineChars="200"/>
              <w:jc w:val="left"/>
              <w:rPr>
                <w:rFonts w:ascii="宋体" w:hAnsi="宋体"/>
                <w:sz w:val="24"/>
              </w:rPr>
            </w:pPr>
          </w:p>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2952" w:hRule="atLeast"/>
          <w:jc w:val="center"/>
        </w:trPr>
        <w:tc>
          <w:tcPr>
            <w:tcW w:w="9535" w:type="dxa"/>
            <w:gridSpan w:val="18"/>
            <w:tcBorders>
              <w:top w:val="single" w:color="auto" w:sz="4" w:space="0"/>
              <w:left w:val="single" w:color="auto" w:sz="4" w:space="0"/>
              <w:bottom w:val="nil"/>
              <w:right w:val="single" w:color="auto" w:sz="4" w:space="0"/>
            </w:tcBorders>
            <w:noWrap w:val="0"/>
            <w:vAlign w:val="top"/>
          </w:tcPr>
          <w:p>
            <w:pPr>
              <w:spacing w:before="156" w:beforeLines="50"/>
              <w:rPr>
                <w:rFonts w:hint="eastAsia"/>
                <w:kern w:val="0"/>
                <w:sz w:val="24"/>
              </w:rPr>
            </w:pPr>
            <w:r>
              <w:rPr>
                <w:b/>
                <w:sz w:val="24"/>
              </w:rPr>
              <w:t>二、市场分析（</w:t>
            </w:r>
            <w:r>
              <w:rPr>
                <w:kern w:val="0"/>
                <w:sz w:val="24"/>
              </w:rPr>
              <w:t>1市场需求2目标市场 3市场前景 4产品或服务前景5 SWOT分析等）</w:t>
            </w:r>
          </w:p>
          <w:p>
            <w:pPr>
              <w:spacing w:line="360" w:lineRule="auto"/>
              <w:ind w:firstLine="480" w:firstLineChars="200"/>
              <w:jc w:val="left"/>
              <w:rPr>
                <w:sz w:val="24"/>
              </w:rPr>
            </w:pPr>
            <w:r>
              <w:rPr>
                <w:rFonts w:hint="eastAsia"/>
                <w:sz w:val="24"/>
              </w:rPr>
              <w:t>数字媒体是科技与文化相融合而产生的新兴产业，其精髓是“文化为体，科技为媒”。现代计算机技术、网络技术和数字通信技术的高速发展为数字媒体技术的发展带来广阔的空间，尤其随着计算机网络技术与感官体验的充分结合，仿真虚拟现实等多种艺术效果的出现开创了更多与虚拟物体互动的全新形式，进而给人类带来更多的感官体验。数字媒体的发展通过影响消费者行为深刻地影响着各个领域的发展，广泛地应用于：体感互动、全息影像、远程医疗、虚拟现实、智慧科普、室内外大型表演秀、</w:t>
            </w:r>
            <w:r>
              <w:rPr>
                <w:sz w:val="24"/>
              </w:rPr>
              <w:t>3D打印等等，使传统的消费业、制造业等都受到来自数字媒体的强烈冲击</w:t>
            </w:r>
            <w:r>
              <w:rPr>
                <w:rFonts w:hint="eastAsia"/>
                <w:sz w:val="24"/>
              </w:rPr>
              <w:t>。</w:t>
            </w:r>
          </w:p>
          <w:p>
            <w:pPr>
              <w:spacing w:line="360" w:lineRule="auto"/>
              <w:ind w:firstLine="480" w:firstLineChars="200"/>
              <w:jc w:val="left"/>
              <w:rPr>
                <w:sz w:val="24"/>
              </w:rPr>
            </w:pPr>
            <w:r>
              <w:rPr>
                <w:rFonts w:hint="eastAsia"/>
                <w:sz w:val="24"/>
              </w:rPr>
              <w:t>虚拟现实技术是一种可以创建和体验虚拟世界的计算机仿真系统，它利用高性能计算机生成一种模拟环境，是一种多源信息融合的、交互式的三维动态视景和实体行为的系统仿真。市场上所说的虚拟现实（VR）泛指VR、AR和MR这三类技术的总称。据</w:t>
            </w:r>
            <w:r>
              <w:rPr>
                <w:sz w:val="24"/>
              </w:rPr>
              <w:t>工信部《</w:t>
            </w:r>
            <w:r>
              <w:rPr>
                <w:rFonts w:hint="eastAsia"/>
                <w:sz w:val="24"/>
              </w:rPr>
              <w:t>虚拟现实产业发展白皮书5.0</w:t>
            </w:r>
            <w:r>
              <w:rPr>
                <w:sz w:val="24"/>
              </w:rPr>
              <w:t>》</w:t>
            </w:r>
            <w:r>
              <w:rPr>
                <w:rFonts w:hint="eastAsia"/>
                <w:sz w:val="24"/>
              </w:rPr>
              <w:t>的预测，至2020年我国国内市场虚拟现实的产业规模将超过550亿元。我国《十三五规划纲要》中也明确提出，将大力推进虚拟现实等新兴前沿领域创新和产业化，形成一批新增长点。《国务院关于印发国家教育事业发展“十三五”规划的通知》中指出“全力推动信息技术与教育教学深度融合，支持综合利用互联网、大数据、人工智能和虚拟现实技术探索未来教育教学新模式。”</w:t>
            </w:r>
          </w:p>
          <w:p>
            <w:pPr>
              <w:spacing w:line="360" w:lineRule="auto"/>
              <w:ind w:firstLine="480" w:firstLineChars="200"/>
              <w:jc w:val="left"/>
              <w:rPr>
                <w:sz w:val="24"/>
              </w:rPr>
            </w:pPr>
            <w:r>
              <w:rPr>
                <w:rFonts w:hint="eastAsia"/>
                <w:sz w:val="24"/>
              </w:rPr>
              <w:t>即将到来的5G技术</w:t>
            </w:r>
            <w:r>
              <w:rPr>
                <w:sz w:val="24"/>
              </w:rPr>
              <w:t>将在多个层面上深刻影响媒体和娱乐，包括移动媒体及广告、家庭宽带和电视。它对于改善AR / VR等新互动技术体验也至关重要。</w:t>
            </w:r>
          </w:p>
          <w:p>
            <w:pPr>
              <w:spacing w:line="360" w:lineRule="auto"/>
              <w:ind w:firstLine="480" w:firstLineChars="200"/>
              <w:jc w:val="left"/>
              <w:rPr>
                <w:sz w:val="24"/>
              </w:rPr>
            </w:pPr>
            <w:r>
              <w:rPr>
                <w:rFonts w:hint="eastAsia"/>
                <w:sz w:val="24"/>
              </w:rPr>
              <w:t>VR产业的快速发展，产业与多个行业领域的融合态势，带动了VR产业链中人才需求的井喷，衍生出了大量新型人才培养需求。全球最大的职业社交网站LinkedIn（领英）发布的《全球虚拟现实（VR）人才报告》中数据显示：美国VR人才占全球总数40%，中国VR人才数量占全球2%；从VR职位需求量来看，美国独占近半，中国则约占18%，人才需求量位居全球第二，高质量VR人才的匮乏成为中国VR产业发展的核心症结。</w:t>
            </w:r>
          </w:p>
          <w:p>
            <w:pPr>
              <w:spacing w:before="156" w:beforeLines="50"/>
              <w:rPr>
                <w:b/>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rFonts w:hint="eastAsia"/>
                <w:kern w:val="0"/>
                <w:sz w:val="24"/>
              </w:rPr>
            </w:pPr>
          </w:p>
          <w:p>
            <w:pPr>
              <w:spacing w:before="156" w:beforeLines="50"/>
              <w:rPr>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66"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65" w:hRule="atLeast"/>
          <w:jc w:val="center"/>
        </w:trPr>
        <w:tc>
          <w:tcPr>
            <w:tcW w:w="9535" w:type="dxa"/>
            <w:gridSpan w:val="18"/>
            <w:tcBorders>
              <w:top w:val="single" w:color="auto" w:sz="4" w:space="0"/>
              <w:left w:val="single" w:color="auto" w:sz="4" w:space="0"/>
              <w:bottom w:val="nil"/>
              <w:right w:val="single" w:color="auto" w:sz="4" w:space="0"/>
            </w:tcBorders>
            <w:noWrap w:val="0"/>
            <w:vAlign w:val="top"/>
          </w:tcPr>
          <w:p>
            <w:pPr>
              <w:spacing w:before="156" w:beforeLines="50"/>
              <w:rPr>
                <w:rFonts w:hint="eastAsia"/>
                <w:kern w:val="0"/>
                <w:sz w:val="24"/>
              </w:rPr>
            </w:pPr>
            <w:r>
              <w:rPr>
                <w:b/>
                <w:sz w:val="24"/>
              </w:rPr>
              <w:t>三、营销模式（</w:t>
            </w:r>
            <w:r>
              <w:rPr>
                <w:kern w:val="0"/>
                <w:sz w:val="24"/>
              </w:rPr>
              <w:t>1产品策略 2定价策略 3地点策略4促销策略等）</w:t>
            </w:r>
          </w:p>
          <w:p>
            <w:pPr>
              <w:spacing w:line="360" w:lineRule="auto"/>
              <w:ind w:firstLine="480" w:firstLineChars="200"/>
              <w:jc w:val="left"/>
              <w:rPr>
                <w:rFonts w:ascii="宋体" w:hAnsi="宋体" w:cs="宋体"/>
                <w:kern w:val="0"/>
                <w:sz w:val="24"/>
              </w:rPr>
            </w:pPr>
            <w:r>
              <w:rPr>
                <w:sz w:val="24"/>
              </w:rPr>
              <w:t>工作室以商业项目研发、课题、课程建设、校园宣传、文化活动、为主要依托，辅助专业教师培养学生的创新实践能力，开展系列教研、教改、科研和专业研修及社会服务活动，培养高素质优秀的数媒人才。</w:t>
            </w:r>
            <w:r>
              <w:rPr>
                <w:sz w:val="24"/>
              </w:rPr>
              <w:br w:type="textWrapping"/>
            </w:r>
            <w:r>
              <w:rPr>
                <w:rFonts w:hint="eastAsia"/>
                <w:sz w:val="24"/>
              </w:rPr>
              <w:t xml:space="preserve">  </w:t>
            </w:r>
            <w:r>
              <w:rPr>
                <w:sz w:val="24"/>
              </w:rPr>
              <w:t>1.打造一支优秀团队。通过三年为周期的培养计划，有效推动培养对象的专业成长，力求在一个工作周期内使工作室课题项目研究出成果，服务社会工作见成效，实现工作室成员的专业化成长。</w:t>
            </w:r>
            <w:r>
              <w:rPr>
                <w:sz w:val="24"/>
              </w:rPr>
              <w:br w:type="textWrapping"/>
            </w:r>
            <w:r>
              <w:rPr>
                <w:rFonts w:hint="eastAsia"/>
                <w:sz w:val="24"/>
              </w:rPr>
              <w:t xml:space="preserve">  </w:t>
            </w:r>
            <w:r>
              <w:rPr>
                <w:sz w:val="24"/>
              </w:rPr>
              <w:t>2.抓好一项研究。在实践中总结教育教学经验，瞄准教学改革前沿，探寻教研教改的新思路、新方法，确定一项具有实用价值的科研课题，并以此为研究方向，在实践探索中破解专业教学难题，带领本工作室成员开展有效的科研活动。</w:t>
            </w:r>
            <w:r>
              <w:rPr>
                <w:sz w:val="24"/>
              </w:rPr>
              <w:br w:type="textWrapping"/>
            </w:r>
            <w:r>
              <w:rPr>
                <w:rFonts w:hint="eastAsia"/>
                <w:sz w:val="24"/>
              </w:rPr>
              <w:t xml:space="preserve">  </w:t>
            </w:r>
            <w:r>
              <w:rPr>
                <w:sz w:val="24"/>
              </w:rPr>
              <w:t>3.做好一次展示。每年以研讨会、报告会、公开教学、现场指导等形式，有目的、有计划、有步骤地传播先进的教育理念和教学方法，引领专业建设，充分发挥带头、示范、辐射作用，从而形成群体效应，实现优质教育资源的共享。</w:t>
            </w:r>
            <w:r>
              <w:rPr>
                <w:sz w:val="24"/>
              </w:rPr>
              <w:br w:type="textWrapping"/>
            </w:r>
            <w:r>
              <w:rPr>
                <w:rFonts w:hint="eastAsia"/>
                <w:sz w:val="24"/>
              </w:rPr>
              <w:t xml:space="preserve">  </w:t>
            </w:r>
            <w:r>
              <w:rPr>
                <w:sz w:val="24"/>
              </w:rPr>
              <w:t>4.创建一个网页。开创工作室网页，及时传递工作室成员之间学习成果，交流“工作室”研究成果，使网页成为产学研一体化动态工作站、成果辐射源和资源生成站，以互动的形式面向广大师生。</w:t>
            </w:r>
            <w:r>
              <w:rPr>
                <w:sz w:val="24"/>
              </w:rPr>
              <w:br w:type="textWrapping"/>
            </w:r>
            <w:r>
              <w:rPr>
                <w:rFonts w:hint="eastAsia"/>
                <w:sz w:val="24"/>
              </w:rPr>
              <w:t xml:space="preserve">  </w:t>
            </w:r>
            <w:r>
              <w:rPr>
                <w:sz w:val="24"/>
              </w:rPr>
              <w:t>5.推广一批成果、作品。工作室教育教学、教科研、管理等成果以视频实录、个案集（含教学设计、课件、教学评析）、论文（集）、项目（研究）报告、作品、专著等形式向外输出。</w:t>
            </w:r>
            <w:r>
              <w:rPr>
                <w:sz w:val="24"/>
              </w:rPr>
              <w:br w:type="textWrapping"/>
            </w:r>
            <w:r>
              <w:rPr>
                <w:rFonts w:hint="eastAsia"/>
                <w:sz w:val="24"/>
              </w:rPr>
              <w:t xml:space="preserve">  </w:t>
            </w:r>
            <w:r>
              <w:rPr>
                <w:sz w:val="24"/>
              </w:rPr>
              <w:t>6.定期举办校园虚拟现实VR认知与体验活动。</w:t>
            </w:r>
            <w:r>
              <w:rPr>
                <w:sz w:val="24"/>
              </w:rPr>
              <w:br w:type="textWrapping"/>
            </w:r>
            <w:r>
              <w:rPr>
                <w:rFonts w:hint="eastAsia"/>
                <w:sz w:val="24"/>
              </w:rPr>
              <w:t xml:space="preserve">  </w:t>
            </w:r>
            <w:r>
              <w:rPr>
                <w:sz w:val="24"/>
              </w:rPr>
              <w:t>7.创建一整套完整的产品，用于今后的宣传。</w:t>
            </w:r>
            <w:r>
              <w:rPr>
                <w:sz w:val="24"/>
              </w:rPr>
              <w:br w:type="textWrapping"/>
            </w:r>
            <w:r>
              <w:rPr>
                <w:rFonts w:hint="eastAsia"/>
                <w:sz w:val="24"/>
              </w:rPr>
              <w:t xml:space="preserve">  </w:t>
            </w:r>
            <w:r>
              <w:rPr>
                <w:sz w:val="24"/>
              </w:rPr>
              <w:t>8.立足石化，服务石化。用5年时间打造高效专业的数字媒体团队，形成工作室自由的文化和制度。</w:t>
            </w:r>
            <w:r>
              <w:rPr>
                <w:sz w:val="24"/>
              </w:rPr>
              <w:br w:type="textWrapping"/>
            </w:r>
            <w:r>
              <w:rPr>
                <w:rFonts w:hint="eastAsia"/>
                <w:sz w:val="24"/>
              </w:rPr>
              <w:t xml:space="preserve">  </w:t>
            </w:r>
            <w:r>
              <w:rPr>
                <w:sz w:val="24"/>
              </w:rPr>
              <w:t>9.工作室人员长期创作各类作品，参与全国各类大赛。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95"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80" w:hRule="atLeast"/>
          <w:jc w:val="center"/>
        </w:trPr>
        <w:tc>
          <w:tcPr>
            <w:tcW w:w="9535" w:type="dxa"/>
            <w:gridSpan w:val="18"/>
            <w:tcBorders>
              <w:top w:val="single" w:color="auto" w:sz="4" w:space="0"/>
              <w:left w:val="single" w:color="auto" w:sz="4" w:space="0"/>
              <w:bottom w:val="nil"/>
              <w:right w:val="single" w:color="auto" w:sz="4" w:space="0"/>
            </w:tcBorders>
            <w:noWrap w:val="0"/>
            <w:vAlign w:val="top"/>
          </w:tcPr>
          <w:p>
            <w:pPr>
              <w:spacing w:before="156" w:beforeLines="50"/>
              <w:rPr>
                <w:rFonts w:hint="eastAsia"/>
                <w:kern w:val="0"/>
                <w:sz w:val="24"/>
              </w:rPr>
            </w:pPr>
            <w:r>
              <w:rPr>
                <w:b/>
                <w:sz w:val="24"/>
              </w:rPr>
              <w:t>四、财务分析</w:t>
            </w:r>
            <w:r>
              <w:rPr>
                <w:kern w:val="0"/>
                <w:sz w:val="24"/>
              </w:rPr>
              <w:t>（1资金筹备 2固定资产明细3流动资产明细4利润预计5风险分析 6退出策略等）</w:t>
            </w:r>
          </w:p>
          <w:p>
            <w:pPr>
              <w:spacing w:line="520" w:lineRule="exact"/>
              <w:ind w:right="210" w:rightChars="100" w:firstLine="562" w:firstLineChars="200"/>
              <w:rPr>
                <w:rFonts w:ascii="仿宋_GB2312" w:eastAsia="仿宋_GB2312"/>
                <w:b/>
                <w:sz w:val="28"/>
                <w:szCs w:val="28"/>
              </w:rPr>
            </w:pPr>
            <w:bookmarkStart w:id="0" w:name="_Toc311993333"/>
            <w:r>
              <w:rPr>
                <w:rFonts w:hint="eastAsia" w:ascii="仿宋_GB2312" w:eastAsia="仿宋_GB2312"/>
                <w:b/>
                <w:sz w:val="28"/>
                <w:szCs w:val="28"/>
              </w:rPr>
              <w:t>1、股本结构与规模</w:t>
            </w:r>
            <w:bookmarkEnd w:id="0"/>
          </w:p>
          <w:p>
            <w:pPr>
              <w:spacing w:line="360" w:lineRule="auto"/>
              <w:ind w:firstLine="480" w:firstLineChars="200"/>
              <w:jc w:val="left"/>
              <w:rPr>
                <w:sz w:val="24"/>
              </w:rPr>
            </w:pPr>
            <w:r>
              <w:rPr>
                <w:rFonts w:hint="eastAsia"/>
                <w:sz w:val="24"/>
              </w:rPr>
              <w:t>由于大学生创新创业教育服务中心提供了基本的办公条件和设备，部分虚拟现实开发设备已经与数字媒体专业达成共识，从而很好的解决了场地与设备的问题。团队人员都为在校学生，不需要额外投入生活成本。所以前期启动资金基本零投入。</w:t>
            </w:r>
          </w:p>
          <w:p>
            <w:pPr>
              <w:spacing w:line="360" w:lineRule="auto"/>
              <w:ind w:firstLine="480" w:firstLineChars="200"/>
              <w:jc w:val="left"/>
              <w:rPr>
                <w:sz w:val="24"/>
              </w:rPr>
            </w:pPr>
            <w:r>
              <w:rPr>
                <w:rFonts w:hint="eastAsia"/>
                <w:sz w:val="24"/>
              </w:rPr>
              <w:t>初始注册资本5万。股本结构和规模如下：</w:t>
            </w:r>
            <w:r>
              <w:rPr>
                <w:sz w:val="24"/>
              </w:rPr>
              <w:t xml:space="preserve"> </w:t>
            </w:r>
          </w:p>
          <w:tbl>
            <w:tblPr>
              <w:tblStyle w:val="4"/>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566"/>
              <w:gridCol w:w="1566"/>
              <w:gridCol w:w="156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875" w:type="dxa"/>
                  <w:tcBorders>
                    <w:tl2br w:val="single" w:color="auto" w:sz="4" w:space="0"/>
                  </w:tcBorders>
                  <w:noWrap w:val="0"/>
                  <w:vAlign w:val="center"/>
                </w:tcPr>
                <w:p>
                  <w:pPr>
                    <w:jc w:val="right"/>
                    <w:rPr>
                      <w:rFonts w:ascii="宋体" w:hAnsi="宋体"/>
                      <w:b/>
                      <w:color w:val="000000"/>
                      <w:position w:val="6"/>
                      <w:szCs w:val="21"/>
                    </w:rPr>
                  </w:pPr>
                  <w:r>
                    <w:rPr>
                      <w:rFonts w:hint="eastAsia" w:ascii="宋体" w:hAnsi="宋体"/>
                      <w:b/>
                      <w:color w:val="000000"/>
                      <w:position w:val="-6"/>
                      <w:szCs w:val="21"/>
                    </w:rPr>
                    <w:t xml:space="preserve">  </w:t>
                  </w:r>
                  <w:r>
                    <w:rPr>
                      <w:rFonts w:hint="eastAsia" w:ascii="宋体" w:hAnsi="宋体"/>
                      <w:b/>
                      <w:color w:val="000000"/>
                      <w:position w:val="6"/>
                      <w:szCs w:val="21"/>
                    </w:rPr>
                    <w:t>股本来源</w:t>
                  </w:r>
                </w:p>
                <w:p>
                  <w:pPr>
                    <w:rPr>
                      <w:rFonts w:ascii="宋体" w:hAnsi="宋体"/>
                      <w:b/>
                      <w:color w:val="000000"/>
                      <w:szCs w:val="21"/>
                    </w:rPr>
                  </w:pPr>
                  <w:r>
                    <w:rPr>
                      <w:rFonts w:hint="eastAsia" w:ascii="宋体" w:hAnsi="宋体"/>
                      <w:b/>
                      <w:color w:val="000000"/>
                      <w:position w:val="-6"/>
                      <w:szCs w:val="21"/>
                    </w:rPr>
                    <w:t>股本规模</w:t>
                  </w:r>
                </w:p>
              </w:tc>
              <w:tc>
                <w:tcPr>
                  <w:tcW w:w="1566" w:type="dxa"/>
                  <w:noWrap w:val="0"/>
                  <w:vAlign w:val="center"/>
                </w:tcPr>
                <w:p>
                  <w:pPr>
                    <w:jc w:val="center"/>
                    <w:rPr>
                      <w:rFonts w:ascii="宋体" w:hAnsi="宋体"/>
                      <w:b/>
                      <w:color w:val="000000"/>
                      <w:szCs w:val="21"/>
                    </w:rPr>
                  </w:pPr>
                  <w:r>
                    <w:rPr>
                      <w:rFonts w:hint="eastAsia" w:ascii="宋体" w:hAnsi="宋体"/>
                      <w:b/>
                      <w:color w:val="000000"/>
                      <w:szCs w:val="21"/>
                    </w:rPr>
                    <w:t>管理人员</w:t>
                  </w:r>
                </w:p>
              </w:tc>
              <w:tc>
                <w:tcPr>
                  <w:tcW w:w="1566" w:type="dxa"/>
                  <w:noWrap w:val="0"/>
                  <w:vAlign w:val="center"/>
                </w:tcPr>
                <w:p>
                  <w:pPr>
                    <w:jc w:val="center"/>
                    <w:rPr>
                      <w:rFonts w:ascii="宋体" w:hAnsi="宋体"/>
                      <w:b/>
                      <w:color w:val="000000"/>
                      <w:szCs w:val="21"/>
                    </w:rPr>
                  </w:pPr>
                  <w:r>
                    <w:rPr>
                      <w:rFonts w:hint="eastAsia" w:ascii="宋体" w:hAnsi="宋体"/>
                      <w:b/>
                      <w:color w:val="000000"/>
                      <w:szCs w:val="21"/>
                    </w:rPr>
                    <w:t>技术人员</w:t>
                  </w:r>
                </w:p>
              </w:tc>
              <w:tc>
                <w:tcPr>
                  <w:tcW w:w="1566" w:type="dxa"/>
                  <w:noWrap w:val="0"/>
                  <w:vAlign w:val="center"/>
                </w:tcPr>
                <w:p>
                  <w:pPr>
                    <w:jc w:val="center"/>
                    <w:rPr>
                      <w:rFonts w:ascii="宋体" w:hAnsi="宋体"/>
                      <w:b/>
                      <w:color w:val="000000"/>
                      <w:szCs w:val="21"/>
                    </w:rPr>
                  </w:pPr>
                  <w:r>
                    <w:rPr>
                      <w:rFonts w:hint="eastAsia" w:ascii="宋体" w:hAnsi="宋体"/>
                      <w:b/>
                      <w:color w:val="000000"/>
                      <w:szCs w:val="21"/>
                    </w:rPr>
                    <w:t>营销人员</w:t>
                  </w:r>
                </w:p>
              </w:tc>
              <w:tc>
                <w:tcPr>
                  <w:tcW w:w="1564" w:type="dxa"/>
                  <w:noWrap w:val="0"/>
                  <w:vAlign w:val="center"/>
                </w:tcPr>
                <w:p>
                  <w:pPr>
                    <w:jc w:val="center"/>
                    <w:rPr>
                      <w:rFonts w:ascii="宋体" w:hAnsi="宋体"/>
                      <w:b/>
                      <w:color w:val="000000"/>
                      <w:szCs w:val="21"/>
                    </w:rPr>
                  </w:pPr>
                  <w:r>
                    <w:rPr>
                      <w:rFonts w:hint="eastAsia" w:ascii="宋体" w:hAnsi="宋体"/>
                      <w:b/>
                      <w:color w:val="000000"/>
                      <w:szCs w:val="21"/>
                    </w:rPr>
                    <w:t>财务人员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75" w:type="dxa"/>
                  <w:noWrap w:val="0"/>
                  <w:vAlign w:val="center"/>
                </w:tcPr>
                <w:p>
                  <w:pPr>
                    <w:jc w:val="center"/>
                    <w:rPr>
                      <w:rFonts w:ascii="宋体" w:hAnsi="宋体"/>
                      <w:b/>
                      <w:color w:val="000000"/>
                      <w:szCs w:val="21"/>
                    </w:rPr>
                  </w:pPr>
                  <w:r>
                    <w:rPr>
                      <w:rFonts w:hint="eastAsia" w:ascii="宋体" w:hAnsi="宋体"/>
                      <w:b/>
                      <w:color w:val="000000"/>
                      <w:szCs w:val="21"/>
                    </w:rPr>
                    <w:t>金   额</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3</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1</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0.5</w:t>
                  </w:r>
                </w:p>
              </w:tc>
              <w:tc>
                <w:tcPr>
                  <w:tcW w:w="1564" w:type="dxa"/>
                  <w:noWrap w:val="0"/>
                  <w:vAlign w:val="center"/>
                </w:tcPr>
                <w:p>
                  <w:pPr>
                    <w:jc w:val="center"/>
                    <w:rPr>
                      <w:rFonts w:ascii="宋体" w:hAnsi="宋体"/>
                      <w:color w:val="000000"/>
                      <w:szCs w:val="21"/>
                    </w:rPr>
                  </w:pPr>
                  <w:r>
                    <w:rPr>
                      <w:rFonts w:hint="eastAsia" w:ascii="宋体" w:hAnsi="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75" w:type="dxa"/>
                  <w:noWrap w:val="0"/>
                  <w:vAlign w:val="center"/>
                </w:tcPr>
                <w:p>
                  <w:pPr>
                    <w:jc w:val="center"/>
                    <w:rPr>
                      <w:rFonts w:ascii="宋体" w:hAnsi="宋体"/>
                      <w:b/>
                      <w:color w:val="000000"/>
                      <w:szCs w:val="21"/>
                    </w:rPr>
                  </w:pPr>
                  <w:r>
                    <w:rPr>
                      <w:rFonts w:hint="eastAsia" w:ascii="宋体" w:hAnsi="宋体"/>
                      <w:b/>
                      <w:color w:val="000000"/>
                      <w:szCs w:val="21"/>
                    </w:rPr>
                    <w:t>比   例</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60%</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20%</w:t>
                  </w:r>
                </w:p>
              </w:tc>
              <w:tc>
                <w:tcPr>
                  <w:tcW w:w="1566" w:type="dxa"/>
                  <w:noWrap w:val="0"/>
                  <w:vAlign w:val="center"/>
                </w:tcPr>
                <w:p>
                  <w:pPr>
                    <w:jc w:val="center"/>
                    <w:rPr>
                      <w:rFonts w:ascii="宋体" w:hAnsi="宋体"/>
                      <w:color w:val="000000"/>
                      <w:szCs w:val="21"/>
                    </w:rPr>
                  </w:pPr>
                  <w:r>
                    <w:rPr>
                      <w:rFonts w:hint="eastAsia" w:ascii="宋体" w:hAnsi="宋体"/>
                      <w:color w:val="000000"/>
                      <w:szCs w:val="21"/>
                    </w:rPr>
                    <w:t>10%</w:t>
                  </w:r>
                </w:p>
              </w:tc>
              <w:tc>
                <w:tcPr>
                  <w:tcW w:w="1564" w:type="dxa"/>
                  <w:noWrap w:val="0"/>
                  <w:vAlign w:val="center"/>
                </w:tcPr>
                <w:p>
                  <w:pPr>
                    <w:jc w:val="center"/>
                    <w:rPr>
                      <w:rFonts w:ascii="宋体" w:hAnsi="宋体"/>
                      <w:color w:val="000000"/>
                      <w:szCs w:val="21"/>
                    </w:rPr>
                  </w:pPr>
                  <w:r>
                    <w:rPr>
                      <w:rFonts w:hint="eastAsia" w:ascii="宋体" w:hAnsi="宋体"/>
                      <w:color w:val="000000"/>
                      <w:szCs w:val="21"/>
                    </w:rPr>
                    <w:t>10%</w:t>
                  </w:r>
                </w:p>
              </w:tc>
            </w:tr>
          </w:tbl>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14317"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line="360" w:lineRule="auto"/>
              <w:ind w:firstLine="480" w:firstLineChars="200"/>
              <w:jc w:val="left"/>
              <w:rPr>
                <w:sz w:val="24"/>
              </w:rPr>
            </w:pPr>
            <w:r>
              <w:rPr>
                <w:rFonts w:hint="eastAsia"/>
                <w:sz w:val="24"/>
              </w:rPr>
              <w:t>工作室初始资金来源中，主要筹资渠道是个人集资，具体高层管理人员的资金占总资金的60%，其余40%的注册资金由普通员工集资而成。其中技术人员的比例占20%，低于常规的10%，工作室的资金结构稳定。</w:t>
            </w:r>
          </w:p>
          <w:p>
            <w:pPr>
              <w:spacing w:line="360" w:lineRule="auto"/>
              <w:ind w:firstLine="480" w:firstLineChars="200"/>
              <w:jc w:val="left"/>
              <w:rPr>
                <w:sz w:val="24"/>
              </w:rPr>
            </w:pPr>
            <w:r>
              <w:rPr>
                <w:rFonts w:hint="eastAsia"/>
                <w:sz w:val="24"/>
              </w:rPr>
              <w:t>根据预期发展速度，结合市场调研所得，工作室发展两年以后已经具备一定实力，可以进行市场扩大，必然要集资以扩大资金实力，具体筹资渠道主要通过银行借款。</w:t>
            </w:r>
          </w:p>
          <w:p>
            <w:pPr>
              <w:spacing w:line="520" w:lineRule="exact"/>
              <w:ind w:right="210" w:rightChars="100" w:firstLine="562" w:firstLineChars="200"/>
              <w:rPr>
                <w:rFonts w:ascii="仿宋_GB2312" w:eastAsia="仿宋_GB2312"/>
                <w:b/>
                <w:sz w:val="28"/>
                <w:szCs w:val="28"/>
              </w:rPr>
            </w:pPr>
            <w:bookmarkStart w:id="1" w:name="_Toc311993334"/>
            <w:r>
              <w:rPr>
                <w:rFonts w:hint="eastAsia" w:ascii="仿宋_GB2312" w:eastAsia="仿宋_GB2312"/>
                <w:b/>
                <w:sz w:val="28"/>
                <w:szCs w:val="28"/>
              </w:rPr>
              <w:t>2、初始投资分配</w:t>
            </w:r>
            <w:bookmarkEnd w:id="1"/>
          </w:p>
          <w:p>
            <w:pPr>
              <w:spacing w:line="360" w:lineRule="auto"/>
              <w:ind w:firstLine="480" w:firstLineChars="200"/>
              <w:jc w:val="left"/>
              <w:rPr>
                <w:sz w:val="24"/>
              </w:rPr>
            </w:pPr>
            <w:r>
              <w:rPr>
                <w:rFonts w:hint="eastAsia"/>
                <w:sz w:val="24"/>
              </w:rPr>
              <w:t>公司成立初期共筹集资金5万。其中工作室高层管理人员出资3万，员工入股投资2万元。工作室成立初期，设立在校内，工作室面积约20—30平方米，各项开支均属于小规模投资，风险较小，在短期内（大约1—2年）无需进行银行贷款，可自行解决资金流动问题。</w:t>
            </w:r>
          </w:p>
          <w:p>
            <w:pPr>
              <w:spacing w:line="360" w:lineRule="auto"/>
              <w:ind w:firstLine="480" w:firstLineChars="200"/>
              <w:jc w:val="left"/>
              <w:rPr>
                <w:sz w:val="24"/>
              </w:rPr>
            </w:pPr>
            <w:r>
              <w:rPr>
                <w:rFonts w:hint="eastAsia"/>
                <w:sz w:val="24"/>
              </w:rPr>
              <w:t>在工作室成立2年（保守估计3年）以后，将要面临扩大，届时将要向社会集资，适当时机要求贷款。</w:t>
            </w:r>
          </w:p>
          <w:p>
            <w:pPr>
              <w:spacing w:line="360" w:lineRule="auto"/>
              <w:ind w:firstLine="480" w:firstLineChars="200"/>
              <w:jc w:val="left"/>
              <w:rPr>
                <w:sz w:val="24"/>
              </w:rPr>
            </w:pPr>
            <w:r>
              <w:rPr>
                <w:rFonts w:hint="eastAsia"/>
                <w:sz w:val="24"/>
              </w:rPr>
              <w:t>初始资金主要用于员工工资等费用；在公司运营的3、4、5年，工作室将在此基础上增加50万至200万的长期借款和其他金融机构借款，综合金融市场发展趋势，恰当选择金融工具，利用工作室自留资金进行投资，以此改善现金流动状况并达到较合理的资产负债比。</w:t>
            </w:r>
          </w:p>
          <w:p>
            <w:pPr>
              <w:spacing w:line="360" w:lineRule="auto"/>
              <w:ind w:firstLine="480" w:firstLineChars="200"/>
              <w:jc w:val="left"/>
              <w:rPr>
                <w:sz w:val="24"/>
              </w:rPr>
            </w:pPr>
            <w:r>
              <w:rPr>
                <w:rFonts w:hint="eastAsia"/>
                <w:sz w:val="24"/>
              </w:rPr>
              <w:t>工作室初始投资，第一年为基准，具体的投资现金流出内容主要包括：经营成本，各项税款。</w:t>
            </w:r>
          </w:p>
          <w:p>
            <w:pPr>
              <w:spacing w:line="360" w:lineRule="auto"/>
              <w:ind w:firstLine="480" w:firstLineChars="200"/>
              <w:jc w:val="left"/>
              <w:rPr>
                <w:sz w:val="24"/>
              </w:rPr>
            </w:pPr>
            <w:r>
              <w:rPr>
                <w:rFonts w:hint="eastAsia"/>
                <w:sz w:val="24"/>
              </w:rPr>
              <w:t>经营成本主要指工作室运营期间的日常支出、人工费用等等。</w:t>
            </w:r>
          </w:p>
          <w:p>
            <w:pPr>
              <w:spacing w:line="360" w:lineRule="auto"/>
              <w:ind w:firstLine="480" w:firstLineChars="200"/>
              <w:jc w:val="left"/>
              <w:rPr>
                <w:sz w:val="24"/>
              </w:rPr>
            </w:pPr>
            <w:r>
              <w:rPr>
                <w:rFonts w:hint="eastAsia"/>
                <w:sz w:val="24"/>
              </w:rPr>
              <w:t>各项税款主要在第二年下半年盈亏平衡之后，注册公司开始以小企业20%税率计算。</w:t>
            </w:r>
          </w:p>
          <w:p>
            <w:pPr>
              <w:spacing w:line="520" w:lineRule="exact"/>
              <w:ind w:right="210" w:rightChars="100" w:firstLine="482" w:firstLineChars="200"/>
              <w:rPr>
                <w:rFonts w:ascii="仿宋_GB2312" w:eastAsia="仿宋_GB2312"/>
                <w:b/>
                <w:sz w:val="28"/>
                <w:szCs w:val="28"/>
              </w:rPr>
            </w:pPr>
            <w:r>
              <w:rPr>
                <w:rFonts w:hint="eastAsia"/>
                <w:b/>
                <w:bCs/>
                <w:sz w:val="24"/>
              </w:rPr>
              <w:t xml:space="preserve"> </w:t>
            </w:r>
            <w:bookmarkStart w:id="2" w:name="_Toc311993336"/>
            <w:r>
              <w:rPr>
                <w:rFonts w:hint="eastAsia" w:ascii="仿宋_GB2312" w:eastAsia="仿宋_GB2312"/>
                <w:b/>
                <w:sz w:val="28"/>
                <w:szCs w:val="28"/>
              </w:rPr>
              <w:t>4、投资收益</w:t>
            </w:r>
            <w:bookmarkEnd w:id="2"/>
          </w:p>
          <w:p>
            <w:pPr>
              <w:spacing w:before="156" w:beforeLines="50"/>
              <w:rPr>
                <w:b/>
                <w:bCs/>
                <w:sz w:val="24"/>
              </w:rPr>
            </w:pPr>
            <w:r>
              <w:drawing>
                <wp:anchor distT="0" distB="0" distL="114300" distR="114300" simplePos="0" relativeHeight="251659264" behindDoc="0" locked="0" layoutInCell="1" allowOverlap="1">
                  <wp:simplePos x="0" y="0"/>
                  <wp:positionH relativeFrom="column">
                    <wp:posOffset>1085850</wp:posOffset>
                  </wp:positionH>
                  <wp:positionV relativeFrom="paragraph">
                    <wp:posOffset>52705</wp:posOffset>
                  </wp:positionV>
                  <wp:extent cx="3752850" cy="2351405"/>
                  <wp:effectExtent l="0" t="0" r="0" b="10795"/>
                  <wp:wrapTopAndBottom/>
                  <wp:docPr id="1" name="图片 2" descr="6LHX8KTP23]V%KGTS1YW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LHX8KTP23]V%KGTS1YWD}3"/>
                          <pic:cNvPicPr>
                            <a:picLocks noChangeAspect="1"/>
                          </pic:cNvPicPr>
                        </pic:nvPicPr>
                        <pic:blipFill>
                          <a:blip r:embed="rId5"/>
                          <a:stretch>
                            <a:fillRect/>
                          </a:stretch>
                        </pic:blipFill>
                        <pic:spPr>
                          <a:xfrm>
                            <a:off x="0" y="0"/>
                            <a:ext cx="3752850" cy="2351405"/>
                          </a:xfrm>
                          <a:prstGeom prst="rect">
                            <a:avLst/>
                          </a:prstGeom>
                          <a:noFill/>
                          <a:ln>
                            <a:noFill/>
                          </a:ln>
                        </pic:spPr>
                      </pic:pic>
                    </a:graphicData>
                  </a:graphic>
                </wp:anchor>
              </w:drawing>
            </w:r>
          </w:p>
          <w:p>
            <w:pPr>
              <w:spacing w:before="156" w:beforeLines="50"/>
              <w:rPr>
                <w:b/>
                <w:bCs/>
                <w:sz w:val="24"/>
              </w:rPr>
            </w:pPr>
          </w:p>
          <w:p>
            <w:pPr>
              <w:spacing w:before="156" w:beforeLines="50"/>
              <w:rPr>
                <w:rFonts w:hint="eastAsia"/>
                <w:b/>
                <w:bCs/>
                <w:sz w:val="24"/>
              </w:rPr>
            </w:pPr>
          </w:p>
          <w:p>
            <w:pPr>
              <w:spacing w:before="156" w:beforeLines="50"/>
              <w:rPr>
                <w:rFonts w:hint="eastAsia"/>
                <w:b/>
                <w:bCs/>
                <w:sz w:val="24"/>
              </w:rPr>
            </w:pPr>
          </w:p>
          <w:p>
            <w:pPr>
              <w:spacing w:before="156" w:beforeLines="50"/>
              <w:rPr>
                <w:rFonts w:hint="eastAsia"/>
                <w:b/>
                <w:bCs/>
                <w:sz w:val="24"/>
              </w:rPr>
            </w:pPr>
          </w:p>
          <w:p>
            <w:pPr>
              <w:spacing w:before="156" w:beforeLines="50"/>
              <w:rPr>
                <w:rFonts w:hint="eastAsia"/>
                <w:b/>
                <w:bCs/>
                <w:sz w:val="24"/>
              </w:rPr>
            </w:pPr>
          </w:p>
          <w:p>
            <w:pPr>
              <w:spacing w:before="156" w:beforeLines="50"/>
              <w:rPr>
                <w:rFonts w:hint="eastAsia"/>
                <w:b/>
                <w:bCs/>
                <w:sz w:val="24"/>
              </w:rPr>
            </w:pPr>
          </w:p>
          <w:p>
            <w:pPr>
              <w:spacing w:before="156" w:beforeLines="50"/>
              <w:rPr>
                <w:rFonts w:hint="eastAsia"/>
                <w:b/>
                <w:bCs/>
                <w:sz w:val="24"/>
              </w:rPr>
            </w:pPr>
          </w:p>
          <w:p>
            <w:pPr>
              <w:spacing w:before="156" w:beforeLines="50"/>
              <w:rPr>
                <w:b/>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50" w:hRule="atLeast"/>
          <w:jc w:val="center"/>
        </w:trPr>
        <w:tc>
          <w:tcPr>
            <w:tcW w:w="9535" w:type="dxa"/>
            <w:gridSpan w:val="18"/>
            <w:tcBorders>
              <w:top w:val="single" w:color="auto" w:sz="4" w:space="0"/>
              <w:left w:val="single" w:color="auto" w:sz="4" w:space="0"/>
              <w:bottom w:val="nil"/>
              <w:right w:val="single" w:color="auto" w:sz="4" w:space="0"/>
            </w:tcBorders>
            <w:noWrap w:val="0"/>
            <w:vAlign w:val="top"/>
          </w:tcPr>
          <w:p>
            <w:pPr>
              <w:spacing w:before="156" w:beforeLines="50"/>
              <w:rPr>
                <w:kern w:val="0"/>
                <w:sz w:val="24"/>
              </w:rPr>
            </w:pPr>
            <w:r>
              <w:rPr>
                <w:b/>
                <w:sz w:val="24"/>
              </w:rPr>
              <w:t>五、风险预期</w:t>
            </w:r>
            <w:r>
              <w:rPr>
                <w:kern w:val="0"/>
                <w:sz w:val="24"/>
              </w:rPr>
              <w:t>（1资产风险2竞争风险3财务风险4管理风险5技术风险6破产对策等）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1836"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line="520" w:lineRule="exact"/>
              <w:ind w:right="210" w:rightChars="100" w:firstLine="562" w:firstLineChars="200"/>
              <w:rPr>
                <w:rFonts w:ascii="仿宋_GB2312" w:eastAsia="仿宋_GB2312"/>
                <w:b/>
                <w:sz w:val="28"/>
                <w:szCs w:val="28"/>
              </w:rPr>
            </w:pPr>
            <w:r>
              <w:rPr>
                <w:rFonts w:hint="eastAsia" w:ascii="仿宋_GB2312" w:eastAsia="仿宋_GB2312"/>
                <w:b/>
                <w:sz w:val="28"/>
                <w:szCs w:val="28"/>
              </w:rPr>
              <w:t>1、外部风险</w:t>
            </w:r>
          </w:p>
          <w:p>
            <w:pPr>
              <w:spacing w:line="360" w:lineRule="auto"/>
              <w:ind w:firstLine="480" w:firstLineChars="200"/>
              <w:jc w:val="left"/>
              <w:rPr>
                <w:sz w:val="24"/>
              </w:rPr>
            </w:pPr>
            <w:r>
              <w:rPr>
                <w:rFonts w:hint="eastAsia"/>
                <w:sz w:val="24"/>
              </w:rPr>
              <w:t>市场没有成形，开拓市场的费用大。市场没有模板可以借鉴，靠自主开发，模式经营还需要摸索，要承担失败的风险。</w:t>
            </w:r>
            <w:bookmarkStart w:id="3" w:name="_Toc311993343"/>
          </w:p>
          <w:p>
            <w:pPr>
              <w:spacing w:line="520" w:lineRule="exact"/>
              <w:ind w:right="210" w:rightChars="100" w:firstLine="562" w:firstLineChars="200"/>
              <w:rPr>
                <w:rFonts w:ascii="仿宋_GB2312" w:eastAsia="仿宋_GB2312"/>
                <w:b/>
                <w:sz w:val="28"/>
                <w:szCs w:val="28"/>
              </w:rPr>
            </w:pPr>
            <w:r>
              <w:rPr>
                <w:rFonts w:hint="eastAsia" w:ascii="仿宋_GB2312" w:eastAsia="仿宋_GB2312"/>
                <w:b/>
                <w:sz w:val="28"/>
                <w:szCs w:val="28"/>
              </w:rPr>
              <w:t>2、内部风险</w:t>
            </w:r>
            <w:bookmarkEnd w:id="3"/>
          </w:p>
          <w:p>
            <w:pPr>
              <w:spacing w:line="360" w:lineRule="auto"/>
              <w:ind w:firstLine="480" w:firstLineChars="200"/>
              <w:jc w:val="left"/>
              <w:rPr>
                <w:sz w:val="24"/>
              </w:rPr>
            </w:pPr>
            <w:r>
              <w:rPr>
                <w:rFonts w:hint="eastAsia"/>
                <w:sz w:val="24"/>
              </w:rPr>
              <w:t>新技术营销策略的不确定性造成选择上的模糊与困难；竞争对手的策略改变，应付策略上的不确定性；市面上的某些公司也有相关的业务，虽然经营的业务重心不同，但仍有抢占工作室市场的风险。价格在一定程度上影响市场的营销策略；工作室成员主要由在校学生组成，一定程度上受到学校课业的牵制。</w:t>
            </w:r>
          </w:p>
          <w:p>
            <w:pPr>
              <w:spacing w:line="520" w:lineRule="exact"/>
              <w:ind w:right="210" w:rightChars="100" w:firstLine="562" w:firstLineChars="200"/>
              <w:rPr>
                <w:rFonts w:ascii="仿宋_GB2312" w:eastAsia="仿宋_GB2312"/>
                <w:b/>
                <w:sz w:val="28"/>
                <w:szCs w:val="28"/>
              </w:rPr>
            </w:pPr>
            <w:bookmarkStart w:id="4" w:name="_Toc311993344"/>
            <w:r>
              <w:rPr>
                <w:rFonts w:hint="eastAsia" w:ascii="仿宋_GB2312" w:eastAsia="仿宋_GB2312"/>
                <w:b/>
                <w:sz w:val="28"/>
                <w:szCs w:val="28"/>
              </w:rPr>
              <w:t>3、解决方案</w:t>
            </w:r>
            <w:bookmarkEnd w:id="4"/>
          </w:p>
          <w:p>
            <w:pPr>
              <w:spacing w:line="360" w:lineRule="auto"/>
              <w:ind w:firstLine="480" w:firstLineChars="200"/>
              <w:jc w:val="left"/>
              <w:rPr>
                <w:sz w:val="24"/>
              </w:rPr>
            </w:pPr>
            <w:r>
              <w:rPr>
                <w:rFonts w:hint="eastAsia"/>
                <w:sz w:val="24"/>
              </w:rPr>
              <w:t>加强与学校管理人员联系，主要是学生干部跟团委老师，尤其在前期，宣传还没打开之前，对扩大我们产品的宣传影响力有着重要的作用；及时跟进数字媒体专业知识，强化产品的技术优势；经过当事人同意，将项目案例放于网络上进行宣传；多元化经营，化解对传统单一销售的依赖性风险；建立及时有效的信息反馈渠道，随时了解市场动态。</w:t>
            </w:r>
          </w:p>
          <w:p>
            <w:pPr>
              <w:spacing w:line="360" w:lineRule="auto"/>
              <w:ind w:firstLine="480" w:firstLineChars="200"/>
              <w:jc w:val="left"/>
              <w:rPr>
                <w:sz w:val="24"/>
              </w:rPr>
            </w:pPr>
            <w:r>
              <w:rPr>
                <w:rFonts w:hint="eastAsia"/>
                <w:sz w:val="24"/>
              </w:rPr>
              <w:t>首先，资金的运转可能会出现断层，由于我们都是在校学生，所以用于投资的多余资金不是太富裕。为了解决这一问题，我们会向校方申请缓冲资金，及拉取商家赞助。</w:t>
            </w:r>
          </w:p>
          <w:p>
            <w:pPr>
              <w:spacing w:line="360" w:lineRule="auto"/>
              <w:ind w:firstLine="480" w:firstLineChars="200"/>
              <w:jc w:val="left"/>
              <w:rPr>
                <w:sz w:val="24"/>
              </w:rPr>
            </w:pPr>
            <w:r>
              <w:rPr>
                <w:rFonts w:hint="eastAsia"/>
                <w:sz w:val="24"/>
              </w:rPr>
              <w:t>其次，就是内部人员管理的不当，可能会由于一些问题导致成员之间的矛盾与分离。为了避免与减少此类风险的出现，我们会在工作室成立之前与初期，制定相关的管理条例与成员的例会的召开。</w:t>
            </w:r>
          </w:p>
          <w:p>
            <w:pPr>
              <w:spacing w:line="360" w:lineRule="auto"/>
              <w:ind w:firstLine="480" w:firstLineChars="200"/>
              <w:jc w:val="left"/>
              <w:rPr>
                <w:sz w:val="24"/>
              </w:rPr>
            </w:pPr>
            <w:r>
              <w:rPr>
                <w:rFonts w:hint="eastAsia"/>
                <w:sz w:val="24"/>
              </w:rPr>
              <w:t>最后，就是一些突发状况，我们会针对性的准备多套比较全面的应急方案，以备突发事件的发生。</w:t>
            </w:r>
          </w:p>
          <w:p>
            <w:pPr>
              <w:spacing w:before="156" w:beforeLines="50"/>
              <w:rPr>
                <w:b/>
                <w:sz w:val="24"/>
              </w:rPr>
            </w:pPr>
          </w:p>
          <w:p>
            <w:pPr>
              <w:spacing w:before="156" w:beforeLines="50"/>
              <w:rPr>
                <w:b/>
                <w:sz w:val="24"/>
              </w:rPr>
            </w:pPr>
          </w:p>
          <w:p>
            <w:pPr>
              <w:spacing w:before="156" w:beforeLines="50"/>
              <w:rPr>
                <w:rFonts w:hint="eastAsia"/>
                <w:b/>
                <w:sz w:val="24"/>
              </w:rPr>
            </w:pPr>
          </w:p>
          <w:p>
            <w:pPr>
              <w:spacing w:before="156" w:beforeLines="50"/>
              <w:rPr>
                <w:rFonts w:hint="eastAsia"/>
                <w:b/>
                <w:sz w:val="24"/>
              </w:rPr>
            </w:pPr>
          </w:p>
          <w:p>
            <w:pPr>
              <w:spacing w:before="156" w:beforeLines="50"/>
              <w:rPr>
                <w:rFonts w:hint="eastAsia"/>
                <w:b/>
                <w:sz w:val="24"/>
              </w:rPr>
            </w:pPr>
          </w:p>
          <w:p>
            <w:pPr>
              <w:spacing w:before="156" w:beforeLines="50"/>
              <w:rPr>
                <w:rFonts w:hint="eastAsia"/>
                <w:b/>
                <w:sz w:val="24"/>
              </w:rPr>
            </w:pPr>
          </w:p>
          <w:p>
            <w:pPr>
              <w:spacing w:before="156" w:beforeLines="50"/>
              <w:rPr>
                <w:rFonts w:hint="eastAsia"/>
                <w:b/>
                <w:sz w:val="24"/>
              </w:rPr>
            </w:pPr>
          </w:p>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45" w:hRule="atLeast"/>
          <w:jc w:val="center"/>
        </w:trPr>
        <w:tc>
          <w:tcPr>
            <w:tcW w:w="9535" w:type="dxa"/>
            <w:gridSpan w:val="18"/>
            <w:tcBorders>
              <w:top w:val="single" w:color="auto" w:sz="4" w:space="0"/>
              <w:left w:val="single" w:color="auto" w:sz="4" w:space="0"/>
              <w:bottom w:val="nil"/>
              <w:right w:val="single" w:color="auto" w:sz="4" w:space="0"/>
            </w:tcBorders>
            <w:noWrap w:val="0"/>
            <w:vAlign w:val="top"/>
          </w:tcPr>
          <w:p>
            <w:pPr>
              <w:spacing w:before="156" w:beforeLines="50"/>
              <w:rPr>
                <w:b/>
                <w:sz w:val="24"/>
              </w:rPr>
            </w:pPr>
            <w:r>
              <w:rPr>
                <w:b/>
                <w:sz w:val="24"/>
              </w:rPr>
              <w:t>六、项目进度安排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1365" w:hRule="atLeast"/>
          <w:jc w:val="center"/>
        </w:trPr>
        <w:tc>
          <w:tcPr>
            <w:tcW w:w="9535" w:type="dxa"/>
            <w:gridSpan w:val="18"/>
            <w:tcBorders>
              <w:top w:val="nil"/>
              <w:left w:val="single" w:color="auto" w:sz="4" w:space="0"/>
              <w:bottom w:val="single" w:color="auto" w:sz="4" w:space="0"/>
              <w:right w:val="single" w:color="auto" w:sz="4" w:space="0"/>
            </w:tcBorders>
            <w:noWrap w:val="0"/>
            <w:vAlign w:val="top"/>
          </w:tcPr>
          <w:p>
            <w:pPr>
              <w:spacing w:line="360" w:lineRule="auto"/>
              <w:ind w:firstLine="480" w:firstLineChars="200"/>
              <w:jc w:val="left"/>
              <w:rPr>
                <w:rFonts w:hint="eastAsia"/>
                <w:sz w:val="24"/>
              </w:rPr>
            </w:pPr>
            <w:r>
              <w:rPr>
                <w:rFonts w:hint="eastAsia"/>
                <w:sz w:val="24"/>
              </w:rPr>
              <w:t xml:space="preserve">  第一阶段：2019年~2020年，以甘肃为试点投入项目示范，立足甘肃发展自身实力，提高项目经验，并于搞笑进行合作建立人才储备中心，开发中心并不断推广应用；</w:t>
            </w:r>
          </w:p>
          <w:p>
            <w:pPr>
              <w:spacing w:line="360" w:lineRule="auto"/>
              <w:ind w:firstLine="480" w:firstLineChars="200"/>
              <w:jc w:val="left"/>
              <w:rPr>
                <w:rFonts w:hint="eastAsia"/>
                <w:sz w:val="24"/>
              </w:rPr>
            </w:pPr>
            <w:r>
              <w:rPr>
                <w:rFonts w:hint="eastAsia"/>
                <w:sz w:val="24"/>
              </w:rPr>
              <w:t xml:space="preserve">  第二阶段：2020年~2025年，以丰厚的项目经验进行全国的业务推广，公司将在试点对像的支持下寻找更多的合作伙伴，市场扩展至全国；</w:t>
            </w:r>
          </w:p>
          <w:p>
            <w:pPr>
              <w:spacing w:line="360" w:lineRule="auto"/>
              <w:ind w:firstLine="480" w:firstLineChars="200"/>
              <w:jc w:val="left"/>
              <w:rPr>
                <w:rFonts w:hint="eastAsia"/>
                <w:sz w:val="24"/>
              </w:rPr>
            </w:pPr>
            <w:r>
              <w:rPr>
                <w:rFonts w:hint="eastAsia"/>
                <w:sz w:val="24"/>
              </w:rPr>
              <w:t xml:space="preserve">  第三阶段：2025年之后，立足国内市场，拓展海外市场</w:t>
            </w:r>
          </w:p>
          <w:p>
            <w:pPr>
              <w:spacing w:line="360" w:lineRule="auto"/>
              <w:ind w:firstLine="480" w:firstLineChars="200"/>
              <w:jc w:val="left"/>
              <w:rPr>
                <w:rFonts w:hint="eastAsia"/>
                <w:sz w:val="24"/>
              </w:rPr>
            </w:pPr>
            <w:r>
              <w:rPr>
                <w:rFonts w:hint="eastAsia"/>
                <w:sz w:val="24"/>
              </w:rPr>
              <w:t xml:space="preserve">  公司取得稳定的国内市场地位和主要市场份额之后，将立足于中国，针对国际数字媒体行业的全方面开发进行推广应用，拓展海外市场，力争成为全球专业的数字媒体制作服务平台。</w:t>
            </w:r>
          </w:p>
          <w:p>
            <w:pPr>
              <w:spacing w:before="156" w:beforeLines="50"/>
              <w:rPr>
                <w:b/>
                <w:sz w:val="24"/>
              </w:rPr>
            </w:pPr>
          </w:p>
          <w:p>
            <w:pPr>
              <w:tabs>
                <w:tab w:val="left" w:pos="2295"/>
              </w:tabs>
              <w:spacing w:before="156" w:beforeLines="50"/>
              <w:rPr>
                <w:b/>
                <w:sz w:val="24"/>
              </w:rPr>
            </w:pPr>
          </w:p>
          <w:p>
            <w:pPr>
              <w:tabs>
                <w:tab w:val="left" w:pos="2295"/>
              </w:tabs>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1859"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pacing w:before="156" w:beforeLines="50"/>
              <w:rPr>
                <w:b/>
                <w:sz w:val="24"/>
              </w:rPr>
            </w:pPr>
            <w:r>
              <w:rPr>
                <w:b/>
                <w:sz w:val="24"/>
              </w:rPr>
              <w:t>七、创业愿景</w:t>
            </w:r>
          </w:p>
          <w:p>
            <w:pPr>
              <w:spacing w:line="360" w:lineRule="auto"/>
              <w:ind w:firstLine="480" w:firstLineChars="200"/>
              <w:jc w:val="left"/>
              <w:rPr>
                <w:sz w:val="24"/>
              </w:rPr>
            </w:pPr>
            <w:r>
              <w:rPr>
                <w:rFonts w:hint="eastAsia"/>
                <w:sz w:val="24"/>
              </w:rPr>
              <w:t>首先，重视学生修养和基本功训练。所以需要完成全部的专业课程学习，</w:t>
            </w:r>
            <w:r>
              <w:rPr>
                <w:sz w:val="24"/>
              </w:rPr>
              <w:t xml:space="preserve">为学生以后进入工作室实践学习打下坚实的基础。 </w:t>
            </w:r>
            <w:r>
              <w:rPr>
                <w:rFonts w:hint="eastAsia"/>
                <w:sz w:val="24"/>
              </w:rPr>
              <w:t>其次，尊重学生的个性化需求，注重其自主性发展。部分基础较为扎实的同学可以利用拔尖学生培养机制，进入工作室参与项目研发进行课程置换。工作室在不同的时期给学生提供不同类型、不同水平的科研训练，使学生的数字媒体研究能力得到充分培养和锻炼。</w:t>
            </w:r>
          </w:p>
          <w:p>
            <w:pPr>
              <w:spacing w:line="360" w:lineRule="auto"/>
              <w:ind w:firstLine="480" w:firstLineChars="200"/>
              <w:jc w:val="left"/>
              <w:rPr>
                <w:sz w:val="24"/>
              </w:rPr>
            </w:pPr>
            <w:r>
              <w:rPr>
                <w:rFonts w:hint="eastAsia"/>
                <w:sz w:val="24"/>
              </w:rPr>
              <w:t>工作室</w:t>
            </w:r>
            <w:r>
              <w:rPr>
                <w:sz w:val="24"/>
              </w:rPr>
              <w:t>主攻虚拟现实与交互技术，该方向是目前市场的热门前沿技术。我们长期与相关资深企业深度合作，学生毕业就业方向明确。引入工作室的真实项目作为教学案例，“以作品为中心”的教学理念深入贯彻到每个教学环节，充分调动学生的学习积极性、主动性。丰富的第二课堂作为教学环节的重要补充。本专业提供专业讲座、工作室、专业竞赛等丰富的课外学术科技活动，拓宽学生视野，培养学生的综合素质和能力。</w:t>
            </w:r>
          </w:p>
          <w:p>
            <w:pPr>
              <w:spacing w:before="156" w:beforeLines="50"/>
              <w:rPr>
                <w:b/>
                <w:sz w:val="24"/>
              </w:rPr>
            </w:pPr>
          </w:p>
          <w:p>
            <w:pPr>
              <w:spacing w:before="156" w:beforeLines="50"/>
              <w:rPr>
                <w:rFonts w:hint="eastAsia"/>
                <w:b/>
                <w:sz w:val="24"/>
              </w:rPr>
            </w:pPr>
          </w:p>
          <w:p>
            <w:pPr>
              <w:spacing w:before="156" w:beforeLines="50"/>
              <w:rPr>
                <w:rFonts w:hint="eastAsia"/>
                <w:b/>
                <w:sz w:val="24"/>
              </w:rPr>
            </w:pPr>
          </w:p>
          <w:p>
            <w:pPr>
              <w:spacing w:before="156" w:beforeLines="50"/>
              <w:rPr>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80"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pacing w:before="156" w:beforeLines="50"/>
              <w:rPr>
                <w:b/>
                <w:sz w:val="24"/>
              </w:rPr>
            </w:pPr>
            <w:r>
              <w:rPr>
                <w:b/>
                <w:sz w:val="24"/>
              </w:rPr>
              <w:t>八、经费预算（如有外来资金可作说明）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619"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支出科目</w:t>
            </w:r>
          </w:p>
        </w:tc>
        <w:tc>
          <w:tcPr>
            <w:tcW w:w="5682" w:type="dxa"/>
            <w:gridSpan w:val="13"/>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计算根据及理由</w:t>
            </w:r>
          </w:p>
        </w:tc>
        <w:tc>
          <w:tcPr>
            <w:tcW w:w="2505"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金额（单位：元）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9"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宣传</w:t>
            </w:r>
          </w:p>
        </w:tc>
        <w:tc>
          <w:tcPr>
            <w:tcW w:w="5682"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工作室前期宣传需要</w:t>
            </w:r>
          </w:p>
        </w:tc>
        <w:tc>
          <w:tcPr>
            <w:tcW w:w="2505"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2000元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5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软件测试</w:t>
            </w:r>
          </w:p>
        </w:tc>
        <w:tc>
          <w:tcPr>
            <w:tcW w:w="5682" w:type="dxa"/>
            <w:gridSpan w:val="13"/>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sz w:val="24"/>
              </w:rPr>
              <w:t>软件上线前专业测试</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1000元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454"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sz w:val="24"/>
              </w:rPr>
              <w:t>交通</w:t>
            </w:r>
          </w:p>
        </w:tc>
        <w:tc>
          <w:tcPr>
            <w:tcW w:w="5682" w:type="dxa"/>
            <w:gridSpan w:val="13"/>
            <w:tcBorders>
              <w:top w:val="nil"/>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洽谈项目及外出搜集素材</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1000元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设备维护</w:t>
            </w:r>
          </w:p>
        </w:tc>
        <w:tc>
          <w:tcPr>
            <w:tcW w:w="5682" w:type="dxa"/>
            <w:gridSpan w:val="13"/>
            <w:tcBorders>
              <w:top w:val="nil"/>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设备保养及维修</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1000元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技术交流</w:t>
            </w:r>
          </w:p>
        </w:tc>
        <w:tc>
          <w:tcPr>
            <w:tcW w:w="5682" w:type="dxa"/>
            <w:gridSpan w:val="13"/>
            <w:tcBorders>
              <w:top w:val="nil"/>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进行专业技术深度交流与学习</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1200元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sz w:val="24"/>
              </w:rPr>
              <w:t>耗材</w:t>
            </w:r>
          </w:p>
        </w:tc>
        <w:tc>
          <w:tcPr>
            <w:tcW w:w="5682" w:type="dxa"/>
            <w:gridSpan w:val="13"/>
            <w:tcBorders>
              <w:top w:val="nil"/>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办公及日常消耗</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800元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sz w:val="24"/>
              </w:rPr>
              <w:t>住宿</w:t>
            </w:r>
          </w:p>
        </w:tc>
        <w:tc>
          <w:tcPr>
            <w:tcW w:w="5682" w:type="dxa"/>
            <w:gridSpan w:val="13"/>
            <w:tcBorders>
              <w:top w:val="nil"/>
              <w:left w:val="single" w:color="auto" w:sz="4" w:space="0"/>
              <w:bottom w:val="single" w:color="auto" w:sz="4" w:space="0"/>
              <w:right w:val="single" w:color="auto" w:sz="4" w:space="0"/>
            </w:tcBorders>
            <w:noWrap w:val="0"/>
            <w:vAlign w:val="center"/>
          </w:tcPr>
          <w:p>
            <w:pPr>
              <w:tabs>
                <w:tab w:val="left" w:pos="5411"/>
              </w:tabs>
              <w:spacing w:before="156" w:beforeLines="50"/>
              <w:jc w:val="center"/>
              <w:rPr>
                <w:sz w:val="24"/>
              </w:rPr>
            </w:pPr>
            <w:r>
              <w:rPr>
                <w:sz w:val="24"/>
              </w:rPr>
              <w:t>洽谈项目及外出搜集素材</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2200元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1348" w:type="dxa"/>
            <w:gridSpan w:val="2"/>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sz w:val="24"/>
              </w:rPr>
              <w:t>杂费</w:t>
            </w:r>
          </w:p>
        </w:tc>
        <w:tc>
          <w:tcPr>
            <w:tcW w:w="5682" w:type="dxa"/>
            <w:gridSpan w:val="13"/>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sz w:val="24"/>
              </w:rPr>
              <w:t>其他</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sz w:val="24"/>
              </w:rPr>
            </w:pPr>
            <w:r>
              <w:rPr>
                <w:rFonts w:hint="eastAsia"/>
                <w:sz w:val="24"/>
              </w:rPr>
              <w:t>800元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7030" w:type="dxa"/>
            <w:gridSpan w:val="15"/>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b/>
                <w:sz w:val="24"/>
              </w:rPr>
              <w:t>合计</w:t>
            </w:r>
          </w:p>
        </w:tc>
        <w:tc>
          <w:tcPr>
            <w:tcW w:w="2505" w:type="dxa"/>
            <w:gridSpan w:val="3"/>
            <w:tcBorders>
              <w:top w:val="nil"/>
              <w:left w:val="single" w:color="auto" w:sz="4" w:space="0"/>
              <w:bottom w:val="single" w:color="auto" w:sz="4" w:space="0"/>
              <w:right w:val="single" w:color="auto" w:sz="4" w:space="0"/>
            </w:tcBorders>
            <w:noWrap w:val="0"/>
            <w:vAlign w:val="center"/>
          </w:tcPr>
          <w:p>
            <w:pPr>
              <w:spacing w:before="156" w:beforeLines="50"/>
              <w:jc w:val="center"/>
              <w:rPr>
                <w:b/>
                <w:sz w:val="24"/>
              </w:rPr>
            </w:pPr>
            <w:r>
              <w:rPr>
                <w:rFonts w:hint="eastAsia"/>
                <w:sz w:val="24"/>
              </w:rPr>
              <w:t>10000元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560"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center"/>
          </w:tcPr>
          <w:p>
            <w:pPr>
              <w:spacing w:before="120"/>
              <w:jc w:val="left"/>
              <w:rPr>
                <w:b/>
                <w:sz w:val="24"/>
              </w:rPr>
            </w:pPr>
            <w:r>
              <w:rPr>
                <w:b/>
                <w:sz w:val="24"/>
              </w:rPr>
              <w:t>九、项目负责人承诺：</w:t>
            </w:r>
          </w:p>
          <w:p>
            <w:pPr>
              <w:spacing w:before="120"/>
              <w:ind w:firstLine="420"/>
              <w:rPr>
                <w:sz w:val="24"/>
              </w:rPr>
            </w:pPr>
            <w:r>
              <w:rPr>
                <w:sz w:val="24"/>
              </w:rPr>
              <w:t>我保证填报内容的真实性。如果获得资助，我与本项目组成员将严格遵守学校的有关规定，认真开展项目工作，按时报送有关材料。</w:t>
            </w:r>
          </w:p>
          <w:p>
            <w:pPr>
              <w:spacing w:line="360" w:lineRule="auto"/>
              <w:ind w:left="5489"/>
              <w:rPr>
                <w:sz w:val="24"/>
              </w:rPr>
            </w:pPr>
          </w:p>
          <w:p>
            <w:pPr>
              <w:spacing w:line="360" w:lineRule="auto"/>
              <w:ind w:left="5489"/>
              <w:rPr>
                <w:sz w:val="24"/>
              </w:rPr>
            </w:pPr>
          </w:p>
          <w:p>
            <w:pPr>
              <w:spacing w:line="360" w:lineRule="auto"/>
              <w:ind w:left="5489"/>
              <w:rPr>
                <w:sz w:val="24"/>
              </w:rPr>
            </w:pPr>
          </w:p>
          <w:p>
            <w:pPr>
              <w:spacing w:line="360" w:lineRule="auto"/>
              <w:ind w:left="5489"/>
              <w:rPr>
                <w:sz w:val="24"/>
              </w:rPr>
            </w:pPr>
          </w:p>
          <w:p>
            <w:pPr>
              <w:spacing w:line="360" w:lineRule="auto"/>
              <w:ind w:left="5489"/>
              <w:rPr>
                <w:sz w:val="24"/>
              </w:rPr>
            </w:pPr>
            <w:r>
              <w:rPr>
                <w:sz w:val="24"/>
              </w:rPr>
              <w:t xml:space="preserve">负责人签名： </w:t>
            </w:r>
          </w:p>
          <w:p>
            <w:pPr>
              <w:tabs>
                <w:tab w:val="left" w:pos="6792"/>
              </w:tabs>
              <w:spacing w:line="360" w:lineRule="auto"/>
              <w:ind w:left="5908"/>
              <w:rPr>
                <w:b/>
                <w:sz w:val="24"/>
              </w:rPr>
            </w:pPr>
            <w:r>
              <w:rPr>
                <w:sz w:val="24"/>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2948"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pacing w:before="156" w:beforeLines="50"/>
              <w:rPr>
                <w:b/>
                <w:sz w:val="24"/>
              </w:rPr>
            </w:pPr>
            <w:r>
              <w:rPr>
                <w:b/>
                <w:sz w:val="24"/>
              </w:rPr>
              <w:t>十、指导教师意见：</w:t>
            </w:r>
          </w:p>
          <w:p>
            <w:pPr>
              <w:spacing w:before="156" w:beforeLines="50"/>
              <w:rPr>
                <w:b/>
                <w:sz w:val="24"/>
              </w:rPr>
            </w:pPr>
            <w:r>
              <w:rPr>
                <w:rFonts w:hint="eastAsia"/>
                <w:b/>
                <w:sz w:val="24"/>
              </w:rPr>
              <w:t xml:space="preserve"> </w:t>
            </w:r>
          </w:p>
          <w:p>
            <w:pPr>
              <w:spacing w:before="156" w:beforeLines="50"/>
              <w:rPr>
                <w:b/>
                <w:sz w:val="24"/>
              </w:rPr>
            </w:pPr>
          </w:p>
          <w:p>
            <w:pPr>
              <w:spacing w:before="156" w:beforeLines="50"/>
              <w:rPr>
                <w:b/>
                <w:sz w:val="24"/>
              </w:rPr>
            </w:pPr>
          </w:p>
          <w:p>
            <w:pPr>
              <w:tabs>
                <w:tab w:val="left" w:pos="6564"/>
              </w:tabs>
              <w:spacing w:line="360" w:lineRule="auto"/>
              <w:rPr>
                <w:sz w:val="24"/>
              </w:rPr>
            </w:pPr>
            <w:r>
              <w:rPr>
                <w:sz w:val="24"/>
              </w:rPr>
              <w:t xml:space="preserve">                                                   签名：</w:t>
            </w:r>
          </w:p>
          <w:p>
            <w:pPr>
              <w:tabs>
                <w:tab w:val="left" w:pos="7812"/>
                <w:tab w:val="left" w:pos="8196"/>
              </w:tabs>
              <w:spacing w:before="156" w:beforeLines="50"/>
              <w:rPr>
                <w:b/>
                <w:sz w:val="24"/>
              </w:rPr>
            </w:pPr>
            <w:r>
              <w:rPr>
                <w:sz w:val="24"/>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cantSplit/>
          <w:trHeight w:val="2200"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pacing w:before="156" w:beforeLines="50"/>
              <w:rPr>
                <w:b/>
                <w:sz w:val="24"/>
              </w:rPr>
            </w:pPr>
            <w:r>
              <w:rPr>
                <w:b/>
                <w:sz w:val="24"/>
              </w:rPr>
              <w:t>十一、学院意见（项目负责人所在学院）：</w:t>
            </w:r>
          </w:p>
          <w:p>
            <w:pPr>
              <w:spacing w:before="156" w:beforeLines="50"/>
              <w:rPr>
                <w:b/>
                <w:sz w:val="24"/>
              </w:rPr>
            </w:pPr>
          </w:p>
          <w:p>
            <w:pPr>
              <w:spacing w:before="156" w:beforeLines="50"/>
              <w:rPr>
                <w:b/>
                <w:sz w:val="24"/>
              </w:rPr>
            </w:pPr>
          </w:p>
          <w:p>
            <w:pPr>
              <w:spacing w:before="156" w:beforeLines="50"/>
              <w:rPr>
                <w:b/>
                <w:sz w:val="24"/>
              </w:rPr>
            </w:pPr>
          </w:p>
          <w:p>
            <w:pPr>
              <w:spacing w:before="156" w:beforeLines="50"/>
              <w:rPr>
                <w:b/>
                <w:sz w:val="24"/>
              </w:rPr>
            </w:pPr>
          </w:p>
          <w:p>
            <w:pPr>
              <w:ind w:firstLine="2760" w:firstLineChars="1150"/>
              <w:rPr>
                <w:sz w:val="24"/>
              </w:rPr>
            </w:pPr>
          </w:p>
          <w:p>
            <w:pPr>
              <w:ind w:firstLine="2880" w:firstLineChars="1200"/>
              <w:rPr>
                <w:sz w:val="24"/>
              </w:rPr>
            </w:pPr>
            <w:r>
              <w:rPr>
                <w:sz w:val="24"/>
              </w:rPr>
              <w:t>负责人签名：            （学院公章）</w:t>
            </w:r>
          </w:p>
          <w:p>
            <w:pPr>
              <w:tabs>
                <w:tab w:val="left" w:pos="8076"/>
              </w:tabs>
              <w:spacing w:before="156" w:beforeLines="50"/>
              <w:rPr>
                <w:b/>
                <w:sz w:val="24"/>
              </w:rPr>
            </w:pPr>
            <w:r>
              <w:rPr>
                <w:sz w:val="24"/>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trHeight w:val="2350"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pacing w:before="156" w:beforeLines="50"/>
              <w:rPr>
                <w:b/>
                <w:sz w:val="24"/>
              </w:rPr>
            </w:pPr>
            <w:r>
              <w:rPr>
                <w:b/>
                <w:sz w:val="24"/>
              </w:rPr>
              <w:t>十一、评审专家组意见：</w:t>
            </w:r>
          </w:p>
          <w:p>
            <w:pPr>
              <w:rPr>
                <w:sz w:val="24"/>
              </w:rPr>
            </w:pPr>
          </w:p>
          <w:p>
            <w:pPr>
              <w:rPr>
                <w:sz w:val="24"/>
              </w:rPr>
            </w:pPr>
          </w:p>
          <w:p>
            <w:pPr>
              <w:rPr>
                <w:sz w:val="24"/>
              </w:rPr>
            </w:pPr>
          </w:p>
          <w:p>
            <w:pPr>
              <w:rPr>
                <w:sz w:val="24"/>
              </w:rPr>
            </w:pPr>
          </w:p>
          <w:p>
            <w:pPr>
              <w:rPr>
                <w:sz w:val="24"/>
              </w:rPr>
            </w:pPr>
          </w:p>
          <w:p>
            <w:pPr>
              <w:rPr>
                <w:sz w:val="24"/>
              </w:rPr>
            </w:pPr>
          </w:p>
          <w:p>
            <w:pPr>
              <w:tabs>
                <w:tab w:val="left" w:pos="6780"/>
              </w:tabs>
              <w:snapToGrid w:val="0"/>
              <w:jc w:val="center"/>
              <w:rPr>
                <w:sz w:val="24"/>
              </w:rPr>
            </w:pPr>
            <w:r>
              <w:rPr>
                <w:sz w:val="24"/>
              </w:rPr>
              <w:t xml:space="preserve">                               负责人签名： </w:t>
            </w:r>
          </w:p>
          <w:p>
            <w:pPr>
              <w:tabs>
                <w:tab w:val="left" w:pos="8100"/>
              </w:tabs>
              <w:snapToGrid w:val="0"/>
              <w:spacing w:before="156" w:beforeLines="50"/>
              <w:jc w:val="center"/>
              <w:rPr>
                <w:sz w:val="24"/>
              </w:rPr>
            </w:pPr>
            <w:r>
              <w:rPr>
                <w:sz w:val="24"/>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18" w:type="dxa"/>
          <w:trHeight w:val="2220" w:hRule="atLeast"/>
          <w:jc w:val="center"/>
        </w:trPr>
        <w:tc>
          <w:tcPr>
            <w:tcW w:w="9535" w:type="dxa"/>
            <w:gridSpan w:val="18"/>
            <w:tcBorders>
              <w:top w:val="single" w:color="auto" w:sz="4" w:space="0"/>
              <w:left w:val="single" w:color="auto" w:sz="4" w:space="0"/>
              <w:bottom w:val="single" w:color="auto" w:sz="4" w:space="0"/>
              <w:right w:val="single" w:color="auto" w:sz="4" w:space="0"/>
            </w:tcBorders>
            <w:noWrap w:val="0"/>
            <w:vAlign w:val="top"/>
          </w:tcPr>
          <w:p>
            <w:pPr>
              <w:snapToGrid w:val="0"/>
              <w:jc w:val="left"/>
              <w:rPr>
                <w:sz w:val="24"/>
              </w:rPr>
            </w:pPr>
            <w:r>
              <w:rPr>
                <w:b/>
                <w:sz w:val="24"/>
              </w:rPr>
              <w:t>十二、学校意见：</w:t>
            </w:r>
            <w:r>
              <w:rPr>
                <w:sz w:val="24"/>
              </w:rPr>
              <w:t xml:space="preserve">       </w:t>
            </w:r>
          </w:p>
          <w:p>
            <w:pPr>
              <w:snapToGrid w:val="0"/>
              <w:jc w:val="left"/>
              <w:rPr>
                <w:sz w:val="24"/>
              </w:rPr>
            </w:pPr>
          </w:p>
          <w:p>
            <w:pPr>
              <w:snapToGrid w:val="0"/>
              <w:jc w:val="left"/>
              <w:rPr>
                <w:sz w:val="24"/>
              </w:rPr>
            </w:pPr>
          </w:p>
          <w:p>
            <w:pPr>
              <w:snapToGrid w:val="0"/>
              <w:jc w:val="left"/>
              <w:rPr>
                <w:sz w:val="24"/>
              </w:rPr>
            </w:pPr>
          </w:p>
          <w:p>
            <w:pPr>
              <w:snapToGrid w:val="0"/>
              <w:jc w:val="left"/>
              <w:rPr>
                <w:sz w:val="24"/>
              </w:rPr>
            </w:pPr>
          </w:p>
          <w:p>
            <w:pPr>
              <w:snapToGrid w:val="0"/>
              <w:jc w:val="left"/>
              <w:rPr>
                <w:sz w:val="24"/>
              </w:rPr>
            </w:pPr>
          </w:p>
          <w:p>
            <w:pPr>
              <w:snapToGrid w:val="0"/>
              <w:jc w:val="left"/>
              <w:rPr>
                <w:sz w:val="24"/>
              </w:rPr>
            </w:pPr>
          </w:p>
          <w:p>
            <w:pPr>
              <w:ind w:firstLine="2760" w:firstLineChars="1150"/>
              <w:rPr>
                <w:sz w:val="24"/>
              </w:rPr>
            </w:pPr>
            <w:r>
              <w:rPr>
                <w:sz w:val="24"/>
              </w:rPr>
              <w:t xml:space="preserve">  负责人签名：            （学校公章）</w:t>
            </w:r>
          </w:p>
          <w:p>
            <w:pPr>
              <w:snapToGrid w:val="0"/>
              <w:jc w:val="left"/>
              <w:rPr>
                <w:sz w:val="24"/>
              </w:rPr>
            </w:pPr>
          </w:p>
          <w:p>
            <w:pPr>
              <w:tabs>
                <w:tab w:val="left" w:pos="8196"/>
              </w:tabs>
              <w:snapToGrid w:val="0"/>
              <w:spacing w:before="156" w:beforeLines="50"/>
              <w:jc w:val="left"/>
              <w:rPr>
                <w:sz w:val="24"/>
              </w:rPr>
            </w:pPr>
            <w:r>
              <w:rPr>
                <w:sz w:val="24"/>
              </w:rPr>
              <w:t xml:space="preserve">                                                       年   月   日</w:t>
            </w:r>
          </w:p>
        </w:tc>
      </w:tr>
    </w:tbl>
    <w:p>
      <w:pPr>
        <w:rPr>
          <w:rFonts w:hint="eastAsia" w:eastAsia="楷体_GB2312"/>
          <w:sz w:val="24"/>
        </w:rPr>
      </w:pPr>
      <w:r>
        <w:rPr>
          <w:rFonts w:eastAsia="楷体_GB2312"/>
          <w:sz w:val="24"/>
        </w:rPr>
        <w:t>注：表格栏高不够可增加。</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YzNjMmRjNjNlYjM1YWNlNTE4YThiOGM5MjliZWMifQ=="/>
  </w:docVars>
  <w:rsids>
    <w:rsidRoot w:val="00FA2ECF"/>
    <w:rsid w:val="00042753"/>
    <w:rsid w:val="00066773"/>
    <w:rsid w:val="00085C8E"/>
    <w:rsid w:val="00087D64"/>
    <w:rsid w:val="00090F07"/>
    <w:rsid w:val="000B2128"/>
    <w:rsid w:val="00142F5F"/>
    <w:rsid w:val="00174C01"/>
    <w:rsid w:val="001965B0"/>
    <w:rsid w:val="00196729"/>
    <w:rsid w:val="001A036D"/>
    <w:rsid w:val="001E3685"/>
    <w:rsid w:val="001E67E5"/>
    <w:rsid w:val="001F51AD"/>
    <w:rsid w:val="00202411"/>
    <w:rsid w:val="00216AAD"/>
    <w:rsid w:val="002368EF"/>
    <w:rsid w:val="00237F3E"/>
    <w:rsid w:val="00291503"/>
    <w:rsid w:val="00330373"/>
    <w:rsid w:val="0033055F"/>
    <w:rsid w:val="00350D1C"/>
    <w:rsid w:val="00372D70"/>
    <w:rsid w:val="00375D07"/>
    <w:rsid w:val="003C1303"/>
    <w:rsid w:val="003C66EA"/>
    <w:rsid w:val="003D05C6"/>
    <w:rsid w:val="0043528A"/>
    <w:rsid w:val="004E2D9E"/>
    <w:rsid w:val="00511061"/>
    <w:rsid w:val="00545C8D"/>
    <w:rsid w:val="00590660"/>
    <w:rsid w:val="005A7220"/>
    <w:rsid w:val="005B34BF"/>
    <w:rsid w:val="005E336B"/>
    <w:rsid w:val="005E6E6F"/>
    <w:rsid w:val="00605D0C"/>
    <w:rsid w:val="006173A5"/>
    <w:rsid w:val="00622E5A"/>
    <w:rsid w:val="00630047"/>
    <w:rsid w:val="0065511B"/>
    <w:rsid w:val="006A0048"/>
    <w:rsid w:val="006A4699"/>
    <w:rsid w:val="006A4A98"/>
    <w:rsid w:val="006B204F"/>
    <w:rsid w:val="00722AD3"/>
    <w:rsid w:val="007335C9"/>
    <w:rsid w:val="00733C4D"/>
    <w:rsid w:val="0074605F"/>
    <w:rsid w:val="007560A5"/>
    <w:rsid w:val="00760D5E"/>
    <w:rsid w:val="00774D38"/>
    <w:rsid w:val="007777E6"/>
    <w:rsid w:val="00790C3A"/>
    <w:rsid w:val="007A3A10"/>
    <w:rsid w:val="007A5264"/>
    <w:rsid w:val="007B6364"/>
    <w:rsid w:val="007F5BFB"/>
    <w:rsid w:val="008029F4"/>
    <w:rsid w:val="00833237"/>
    <w:rsid w:val="00843E99"/>
    <w:rsid w:val="00885907"/>
    <w:rsid w:val="00893500"/>
    <w:rsid w:val="008A36A8"/>
    <w:rsid w:val="008C4359"/>
    <w:rsid w:val="008D0489"/>
    <w:rsid w:val="008D5EA8"/>
    <w:rsid w:val="008E62E9"/>
    <w:rsid w:val="00971E8F"/>
    <w:rsid w:val="009D4FEE"/>
    <w:rsid w:val="009F25FF"/>
    <w:rsid w:val="00A07828"/>
    <w:rsid w:val="00A815E6"/>
    <w:rsid w:val="00A917E0"/>
    <w:rsid w:val="00A974D1"/>
    <w:rsid w:val="00B04AF1"/>
    <w:rsid w:val="00B111C2"/>
    <w:rsid w:val="00B23D92"/>
    <w:rsid w:val="00B40A60"/>
    <w:rsid w:val="00B47140"/>
    <w:rsid w:val="00BD428A"/>
    <w:rsid w:val="00BD4363"/>
    <w:rsid w:val="00BE1BBE"/>
    <w:rsid w:val="00BE530E"/>
    <w:rsid w:val="00C2030D"/>
    <w:rsid w:val="00C42312"/>
    <w:rsid w:val="00C809E9"/>
    <w:rsid w:val="00C94700"/>
    <w:rsid w:val="00CA176C"/>
    <w:rsid w:val="00D25BB2"/>
    <w:rsid w:val="00D37F90"/>
    <w:rsid w:val="00D457B3"/>
    <w:rsid w:val="00D61B44"/>
    <w:rsid w:val="00D71491"/>
    <w:rsid w:val="00D8318A"/>
    <w:rsid w:val="00DB3C3B"/>
    <w:rsid w:val="00DC28CE"/>
    <w:rsid w:val="00DF02F0"/>
    <w:rsid w:val="00E01F6C"/>
    <w:rsid w:val="00E61F68"/>
    <w:rsid w:val="00E81F35"/>
    <w:rsid w:val="00EA1C44"/>
    <w:rsid w:val="00EF78F8"/>
    <w:rsid w:val="00F35C86"/>
    <w:rsid w:val="00F60D74"/>
    <w:rsid w:val="00F77587"/>
    <w:rsid w:val="00F93475"/>
    <w:rsid w:val="00FA2ECF"/>
    <w:rsid w:val="00FA7E0C"/>
    <w:rsid w:val="00FD756A"/>
    <w:rsid w:val="00FF01A8"/>
    <w:rsid w:val="05B178CA"/>
    <w:rsid w:val="3B7660FD"/>
    <w:rsid w:val="429A5CE5"/>
    <w:rsid w:val="44F4187F"/>
    <w:rsid w:val="49F960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页脚 Char"/>
    <w:link w:val="2"/>
    <w:uiPriority w:val="99"/>
    <w:rPr>
      <w:rFonts w:ascii="Times New Roman" w:hAnsi="Times New Roman"/>
      <w:kern w:val="2"/>
      <w:sz w:val="18"/>
      <w:szCs w:val="18"/>
    </w:rPr>
  </w:style>
  <w:style w:type="character" w:customStyle="1" w:styleId="8">
    <w:name w:val="页眉 Char"/>
    <w:link w:val="3"/>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1030</Words>
  <Characters>5875</Characters>
  <Lines>48</Lines>
  <Paragraphs>13</Paragraphs>
  <TotalTime>1</TotalTime>
  <ScaleCrop>false</ScaleCrop>
  <LinksUpToDate>false</LinksUpToDate>
  <CharactersWithSpaces>6892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2013-05-02T07:58:00Z</dcterms:created>
  <dc:creator>微软用户</dc:creator>
  <cp:lastModifiedBy>海婴</cp:lastModifiedBy>
  <dcterms:modified xsi:type="dcterms:W3CDTF">2024-03-08T15:19:30Z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53C3ED19004B4B1CAF0EBA5A24F6766C_13</vt:lpwstr>
  </property>
</Properties>
</file>